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1AA95" w14:textId="77777777" w:rsidR="002343A3" w:rsidRDefault="002343A3" w:rsidP="002343A3">
      <w:pPr>
        <w:pStyle w:val="Rubrik1"/>
        <w:numPr>
          <w:ilvl w:val="0"/>
          <w:numId w:val="0"/>
        </w:numPr>
        <w:spacing w:line="240" w:lineRule="auto"/>
        <w:jc w:val="right"/>
        <w:rPr>
          <w:rFonts w:ascii="Century Gothic" w:hAnsi="Century Gothic"/>
          <w:b/>
          <w:bCs/>
          <w:i/>
          <w:iCs/>
          <w:sz w:val="36"/>
          <w:szCs w:val="36"/>
          <w:lang w:bidi="sv-SE"/>
        </w:rPr>
      </w:pPr>
      <w:r w:rsidRPr="002343A3">
        <w:rPr>
          <w:rFonts w:ascii="Century Gothic" w:hAnsi="Century Gothic"/>
          <w:b/>
          <w:bCs/>
          <w:i/>
          <w:iCs/>
          <w:sz w:val="36"/>
          <w:szCs w:val="36"/>
          <w:lang w:bidi="sv-SE"/>
        </w:rPr>
        <w:t xml:space="preserve">FN:s livsmedels- och jordbruksorganisation </w:t>
      </w:r>
    </w:p>
    <w:p w14:paraId="6FE9F4FA" w14:textId="2077849C" w:rsidR="002343A3" w:rsidRPr="00F83F9B" w:rsidRDefault="002343A3" w:rsidP="002343A3">
      <w:pPr>
        <w:pStyle w:val="Rubrik1"/>
        <w:numPr>
          <w:ilvl w:val="0"/>
          <w:numId w:val="0"/>
        </w:numPr>
        <w:spacing w:line="240" w:lineRule="auto"/>
        <w:jc w:val="right"/>
        <w:rPr>
          <w:rFonts w:ascii="Century Gothic" w:hAnsi="Century Gothic"/>
          <w:b/>
          <w:bCs/>
          <w:sz w:val="28"/>
          <w:szCs w:val="28"/>
          <w:lang w:bidi="sv-SE"/>
        </w:rPr>
      </w:pPr>
      <w:r w:rsidRPr="00F83F9B">
        <w:rPr>
          <w:rFonts w:ascii="Century Gothic" w:hAnsi="Century Gothic"/>
          <w:b/>
          <w:bCs/>
          <w:sz w:val="28"/>
          <w:szCs w:val="28"/>
          <w:lang w:bidi="sv-SE"/>
        </w:rPr>
        <w:t>Rom, 2020</w:t>
      </w:r>
    </w:p>
    <w:p w14:paraId="16EBF8BC" w14:textId="77777777" w:rsidR="002343A3" w:rsidRPr="00891F40" w:rsidRDefault="002343A3" w:rsidP="00057C17">
      <w:pPr>
        <w:spacing w:before="58"/>
        <w:ind w:right="884"/>
        <w:jc w:val="right"/>
        <w:rPr>
          <w:rFonts w:ascii="Calibri"/>
          <w:b/>
          <w:sz w:val="28"/>
        </w:rPr>
      </w:pPr>
    </w:p>
    <w:p w14:paraId="44C7AE35" w14:textId="42CD43D2" w:rsidR="00057C17" w:rsidRPr="00057C17" w:rsidRDefault="00057C17" w:rsidP="006C3B8E">
      <w:pPr>
        <w:pStyle w:val="Rubrik1"/>
        <w:numPr>
          <w:ilvl w:val="0"/>
          <w:numId w:val="0"/>
        </w:numPr>
        <w:rPr>
          <w:rFonts w:ascii="Calibri" w:eastAsia="Calibri" w:hAnsi="Calibri" w:cs="Calibri"/>
          <w:bCs/>
          <w:w w:val="110"/>
          <w:sz w:val="36"/>
          <w:szCs w:val="36"/>
          <w:lang w:val="en-GB" w:bidi="sv-SE"/>
        </w:rPr>
      </w:pPr>
      <w:r w:rsidRPr="00057C17">
        <w:rPr>
          <w:rFonts w:ascii="Calibri" w:eastAsia="Calibri" w:hAnsi="Calibri" w:cs="Calibri"/>
          <w:bCs/>
          <w:w w:val="110"/>
          <w:sz w:val="36"/>
          <w:szCs w:val="36"/>
          <w:lang w:val="en-GB" w:bidi="sv-SE"/>
        </w:rPr>
        <w:t xml:space="preserve">Utdrag ur </w:t>
      </w:r>
    </w:p>
    <w:p w14:paraId="02EC18C0" w14:textId="3D6A4C11" w:rsidR="00057C17" w:rsidRPr="002343A3" w:rsidRDefault="00057C17" w:rsidP="002343A3">
      <w:pPr>
        <w:pStyle w:val="Rubrik1"/>
        <w:numPr>
          <w:ilvl w:val="0"/>
          <w:numId w:val="0"/>
        </w:numPr>
        <w:spacing w:line="240" w:lineRule="auto"/>
        <w:rPr>
          <w:rFonts w:ascii="Calibri" w:eastAsia="Calibri" w:hAnsi="Calibri" w:cs="Calibri"/>
          <w:b/>
          <w:w w:val="110"/>
          <w:sz w:val="48"/>
          <w:szCs w:val="48"/>
          <w:lang w:val="en-GB" w:bidi="sv-SE"/>
        </w:rPr>
      </w:pPr>
      <w:r w:rsidRPr="00F83F9B">
        <w:rPr>
          <w:rFonts w:ascii="Calibri" w:eastAsia="Calibri" w:hAnsi="Calibri" w:cs="Calibri"/>
          <w:b/>
          <w:w w:val="110"/>
          <w:sz w:val="48"/>
          <w:szCs w:val="48"/>
          <w:lang w:val="en-GB" w:bidi="sv-SE"/>
        </w:rPr>
        <w:t>The State of Agricultural Commodities Markets 2020</w:t>
      </w:r>
      <w:r w:rsidRPr="002343A3">
        <w:rPr>
          <w:rFonts w:ascii="Calibri" w:eastAsia="Calibri" w:hAnsi="Calibri" w:cs="Calibri"/>
          <w:b/>
          <w:w w:val="110"/>
          <w:sz w:val="48"/>
          <w:szCs w:val="48"/>
          <w:lang w:val="en-GB" w:bidi="sv-SE"/>
        </w:rPr>
        <w:t xml:space="preserve"> </w:t>
      </w:r>
    </w:p>
    <w:p w14:paraId="379AB3B3" w14:textId="4DD54933" w:rsidR="00B66E0F" w:rsidRPr="00364D48" w:rsidRDefault="00B66E0F" w:rsidP="00057C17">
      <w:pPr>
        <w:pStyle w:val="Rubrik1"/>
        <w:numPr>
          <w:ilvl w:val="0"/>
          <w:numId w:val="42"/>
        </w:numPr>
        <w:rPr>
          <w:rFonts w:ascii="Calibri" w:hAnsi="Calibri"/>
          <w:b/>
          <w:bCs/>
          <w:sz w:val="44"/>
          <w:szCs w:val="44"/>
        </w:rPr>
      </w:pPr>
      <w:r w:rsidRPr="00364D48">
        <w:rPr>
          <w:rFonts w:ascii="Calibri" w:hAnsi="Calibri"/>
          <w:b/>
          <w:bCs/>
          <w:sz w:val="44"/>
          <w:szCs w:val="44"/>
          <w:lang w:bidi="sv-SE"/>
        </w:rPr>
        <w:t xml:space="preserve">TILLSTÅNDET FÖR </w:t>
      </w:r>
      <w:r w:rsidR="008D52EE" w:rsidRPr="00364D48">
        <w:rPr>
          <w:rFonts w:ascii="Calibri" w:hAnsi="Calibri"/>
          <w:b/>
          <w:bCs/>
          <w:sz w:val="44"/>
          <w:szCs w:val="44"/>
          <w:lang w:bidi="sv-SE"/>
        </w:rPr>
        <w:t>JORDBRUKETS RÅVARUMARKNADER</w:t>
      </w:r>
      <w:r w:rsidR="00F83F9B" w:rsidRPr="00364D48">
        <w:rPr>
          <w:rFonts w:ascii="Calibri" w:hAnsi="Calibri"/>
          <w:b/>
          <w:bCs/>
          <w:sz w:val="44"/>
          <w:szCs w:val="44"/>
          <w:lang w:bidi="sv-SE"/>
        </w:rPr>
        <w:t xml:space="preserve"> 2020</w:t>
      </w:r>
    </w:p>
    <w:p w14:paraId="3F74D29B" w14:textId="703C08B5" w:rsidR="00B66E0F" w:rsidRPr="00364D48" w:rsidRDefault="008D52EE" w:rsidP="006C3B8E">
      <w:pPr>
        <w:pStyle w:val="Rubrik1"/>
        <w:numPr>
          <w:ilvl w:val="0"/>
          <w:numId w:val="0"/>
        </w:numPr>
        <w:rPr>
          <w:rFonts w:ascii="Calibri" w:hAnsi="Calibri"/>
          <w:b/>
          <w:bCs/>
          <w:sz w:val="28"/>
          <w:szCs w:val="28"/>
        </w:rPr>
      </w:pPr>
      <w:r w:rsidRPr="00364D48">
        <w:rPr>
          <w:rFonts w:ascii="Calibri" w:hAnsi="Calibri"/>
          <w:b/>
          <w:sz w:val="28"/>
          <w:szCs w:val="28"/>
          <w:lang w:bidi="sv-SE"/>
        </w:rPr>
        <w:t>JORDBRUKSMARKNADER OCH HÅLLBAR UTVECKLING: GLOBALA VÄRDEKEDJOR, SMÅJORDBRUKARE OCH DIGITALA INNOVATIONER</w:t>
      </w:r>
    </w:p>
    <w:p w14:paraId="6A3E8832" w14:textId="7CDD60A5" w:rsidR="00057C17" w:rsidRDefault="00057C17">
      <w:pPr>
        <w:rPr>
          <w:lang w:bidi="sv-SE"/>
        </w:rPr>
      </w:pPr>
      <w:r>
        <w:rPr>
          <w:lang w:bidi="sv-SE"/>
        </w:rPr>
        <w:br w:type="page"/>
      </w:r>
    </w:p>
    <w:p w14:paraId="53D1A0A9" w14:textId="77777777" w:rsidR="00A4754C" w:rsidRDefault="00A4754C" w:rsidP="00A4754C">
      <w:pPr>
        <w:pStyle w:val="Brdtext"/>
        <w:rPr>
          <w:lang w:bidi="sv-SE"/>
        </w:rPr>
      </w:pPr>
    </w:p>
    <w:p w14:paraId="1A5F23C1" w14:textId="77777777" w:rsidR="00A4754C" w:rsidRPr="00C46EDE" w:rsidRDefault="00A4754C" w:rsidP="00A4754C">
      <w:pPr>
        <w:pBdr>
          <w:top w:val="single" w:sz="4" w:space="1" w:color="auto"/>
          <w:left w:val="single" w:sz="4" w:space="4" w:color="auto"/>
          <w:bottom w:val="single" w:sz="4" w:space="1" w:color="auto"/>
          <w:right w:val="single" w:sz="4" w:space="4" w:color="auto"/>
        </w:pBdr>
        <w:ind w:left="993" w:right="428"/>
        <w:rPr>
          <w:b/>
        </w:rPr>
      </w:pPr>
      <w:r w:rsidRPr="005237EE">
        <w:rPr>
          <w:b/>
          <w:lang w:bidi="sv-SE"/>
        </w:rPr>
        <w:t xml:space="preserve">Detta dokument publicerades ursprungligen på engelska av FN:s livsmedels- och jordbruksorganisation. Dokumentet har översatts till svenska av </w:t>
      </w:r>
      <w:r>
        <w:rPr>
          <w:b/>
          <w:lang w:bidi="sv-SE"/>
        </w:rPr>
        <w:t xml:space="preserve">Translator Scandinavia AB. </w:t>
      </w:r>
      <w:r w:rsidRPr="00047915">
        <w:rPr>
          <w:b/>
          <w:lang w:bidi="sv-SE"/>
        </w:rPr>
        <w:t>Translator Scandinavia AB</w:t>
      </w:r>
      <w:r>
        <w:rPr>
          <w:b/>
          <w:lang w:bidi="sv-SE"/>
        </w:rPr>
        <w:t xml:space="preserve"> </w:t>
      </w:r>
      <w:r w:rsidRPr="005237EE">
        <w:rPr>
          <w:b/>
          <w:lang w:bidi="sv-SE"/>
        </w:rPr>
        <w:t xml:space="preserve">ansvarar för kvaliteten på översättningen. I händelse av avvikelser gäller den engelska källtexten. </w:t>
      </w:r>
    </w:p>
    <w:p w14:paraId="231CD4C8" w14:textId="77777777" w:rsidR="00B66E0F" w:rsidRPr="00A4754C" w:rsidRDefault="00B66E0F" w:rsidP="00742920">
      <w:pPr>
        <w:pStyle w:val="Rubrik1utannumrering"/>
        <w:rPr>
          <w:b/>
          <w:color w:val="FF0000"/>
          <w:sz w:val="32"/>
        </w:rPr>
      </w:pPr>
    </w:p>
    <w:p w14:paraId="3FB95745" w14:textId="75096399" w:rsidR="00350635" w:rsidRPr="00A4754C" w:rsidRDefault="00350635" w:rsidP="00742920">
      <w:pPr>
        <w:pStyle w:val="Rubrik1utannumrering"/>
        <w:rPr>
          <w:b/>
          <w:color w:val="7030A0"/>
          <w:sz w:val="32"/>
        </w:rPr>
      </w:pPr>
      <w:r w:rsidRPr="00F13F85">
        <w:rPr>
          <w:b/>
          <w:color w:val="7030A0"/>
          <w:sz w:val="32"/>
          <w:lang w:bidi="sv-SE"/>
        </w:rPr>
        <w:t xml:space="preserve">SAMMANFATTNING </w:t>
      </w:r>
    </w:p>
    <w:p w14:paraId="4455D9FE" w14:textId="77777777" w:rsidR="00742920" w:rsidRPr="00A4754C" w:rsidRDefault="00742920" w:rsidP="00742920">
      <w:pPr>
        <w:pStyle w:val="Brdtext"/>
      </w:pPr>
    </w:p>
    <w:p w14:paraId="2C98BCA4" w14:textId="627F310B" w:rsidR="00350635" w:rsidRPr="00A4754C" w:rsidRDefault="008D52EE" w:rsidP="00F874E5">
      <w:pPr>
        <w:pStyle w:val="Rubrik2utannumrering"/>
        <w:rPr>
          <w:color w:val="7030A0"/>
        </w:rPr>
      </w:pPr>
      <w:r w:rsidRPr="00F13F85">
        <w:rPr>
          <w:color w:val="7030A0"/>
          <w:lang w:bidi="sv-SE"/>
        </w:rPr>
        <w:t xml:space="preserve">HANDEL, MARKNADER OCH HÅLLBAR UTVECKLING </w:t>
      </w:r>
    </w:p>
    <w:p w14:paraId="7A89B179" w14:textId="385A3D14" w:rsidR="00DF1FFF" w:rsidRPr="00A4754C" w:rsidRDefault="008D52EE" w:rsidP="002343A3">
      <w:pPr>
        <w:pStyle w:val="Brdtext"/>
        <w:spacing w:after="0"/>
      </w:pPr>
      <w:r w:rsidRPr="008D52EE">
        <w:rPr>
          <w:lang w:bidi="sv-SE"/>
        </w:rPr>
        <w:t>Handel och marknader är centrala för utvecklingsprocessen. Livsmedels- och jordbruksmarknaderna ger konsumenterna utökade valmöjligheter och skapar incitament för jordbrukarna. Marknader skapar därmed förutsättningar för en optimal resursfördelning och erbjuder möjligheter att koppla samman jordbruk med andra sektorer inom ekonomin. Detta innebär att marknaderna är avgörande för ekonomins strukturomvandling. 2020 års SOCO-rapport (The State of Agricultural Commodity Markets) behandlar frågan om hur handel och marknader bidrar till en hållbar utveckling.</w:t>
      </w:r>
    </w:p>
    <w:p w14:paraId="2FA5C6AF" w14:textId="77777777" w:rsidR="00F874E5" w:rsidRPr="00A4754C" w:rsidRDefault="00F874E5" w:rsidP="00F13F85">
      <w:pPr>
        <w:pStyle w:val="Brdtext"/>
        <w:spacing w:after="0" w:line="360" w:lineRule="auto"/>
      </w:pPr>
    </w:p>
    <w:p w14:paraId="5510C37A" w14:textId="035B3C12" w:rsidR="00F874E5" w:rsidRPr="00A4754C" w:rsidRDefault="008D52EE" w:rsidP="002343A3">
      <w:pPr>
        <w:pStyle w:val="Brdtext"/>
        <w:spacing w:after="0"/>
      </w:pPr>
      <w:r w:rsidRPr="008D52EE">
        <w:rPr>
          <w:lang w:bidi="sv-SE"/>
        </w:rPr>
        <w:t>Välfungerande marknader är en viktig pådrivande faktor för ekonomisk tillväxt, men marknadsmekanismen utgör ingen garanti för att det ska ge en rad olika sociala och miljömässiga fördelar som är centrala för hållbar utveckling. I vissa fall klarar inte marknaderna att förena privatpersoners intressen med de intressen som finns hos samhället som helhet eller med framtida generationers behov, vilka är integrerade i Agenda 2030 för hållbar utveckling.</w:t>
      </w:r>
    </w:p>
    <w:p w14:paraId="6DD69FAD" w14:textId="6C2E4257" w:rsidR="00F874E5" w:rsidRPr="00A4754C" w:rsidRDefault="00F874E5" w:rsidP="00F13F85">
      <w:pPr>
        <w:pStyle w:val="Brdtext"/>
        <w:spacing w:after="0" w:line="360" w:lineRule="auto"/>
      </w:pPr>
    </w:p>
    <w:p w14:paraId="45B3F02D" w14:textId="190AC938" w:rsidR="008D52EE" w:rsidRPr="00A4754C" w:rsidRDefault="008D52EE" w:rsidP="0025253E">
      <w:pPr>
        <w:pStyle w:val="Brdtext"/>
        <w:spacing w:after="0"/>
      </w:pPr>
      <w:r w:rsidRPr="008D52EE">
        <w:rPr>
          <w:lang w:bidi="sv-SE"/>
        </w:rPr>
        <w:t>Agenda 2030 och dess 17 mål för hållbar utveckling (hållbarhetsmålen) syftar till att skapa en bättre och hållbarare framtid för alla. De tar upp de globala utmaningar som vi står inför, t.ex. fattigdom, svält och återställning och hållbar förvaltning av naturresurser. Hållbarhetsmålen integrerar de tre olika dimensionerna av hållbar utveckling – den ekonomiska, sociala och miljömässiga hållbarheten – med nära sammanlänkade mål.</w:t>
      </w:r>
    </w:p>
    <w:p w14:paraId="4DD63924" w14:textId="0A34E17A" w:rsidR="008D52EE" w:rsidRPr="00A4754C" w:rsidRDefault="008D52EE" w:rsidP="00F13F85">
      <w:pPr>
        <w:pStyle w:val="Brdtext"/>
        <w:spacing w:after="0" w:line="360" w:lineRule="auto"/>
      </w:pPr>
    </w:p>
    <w:p w14:paraId="29BAB31A" w14:textId="7AD54ECC" w:rsidR="008D52EE" w:rsidRDefault="008D52EE" w:rsidP="0025253E">
      <w:pPr>
        <w:pStyle w:val="Brdtext"/>
        <w:spacing w:after="0"/>
      </w:pPr>
      <w:r w:rsidRPr="008D52EE">
        <w:rPr>
          <w:lang w:bidi="sv-SE"/>
        </w:rPr>
        <w:t>Jordbruket är centralt för Agenda 2030. Dess kopplingar till en trygg livsmedelsförsörjning, ekonomisk tillväxt, sysselsättning och fattigdomsutrotning, miljö- och naturresursförvaltning samt kost och hälsa återspeglas i de flesta hållbarhetsmålen. Dessa kopplingar identifieras genom marknaderna.</w:t>
      </w:r>
    </w:p>
    <w:p w14:paraId="10B6FAD9" w14:textId="164B178F" w:rsidR="008D52EE" w:rsidRDefault="008D52EE" w:rsidP="00F1485A">
      <w:pPr>
        <w:pStyle w:val="Brdtext"/>
        <w:spacing w:after="0" w:line="240" w:lineRule="auto"/>
      </w:pPr>
    </w:p>
    <w:p w14:paraId="59D381E5" w14:textId="22AACD98" w:rsidR="008D52EE" w:rsidRPr="00A4754C" w:rsidRDefault="008D52EE" w:rsidP="0025253E">
      <w:pPr>
        <w:pStyle w:val="Brdtext"/>
        <w:spacing w:after="0"/>
      </w:pPr>
      <w:r w:rsidRPr="008D52EE">
        <w:rPr>
          <w:lang w:bidi="sv-SE"/>
        </w:rPr>
        <w:lastRenderedPageBreak/>
        <w:t>I denna rapport diskuteras politiska åtgärder och institutioner som kan främja ekonomisk tillväxt samt även dra fördel av jordbruks- och livsmedelsmarknader så att de bidrar till hållbara resultat – ekonomiskt, socialt och miljömässigt.</w:t>
      </w:r>
    </w:p>
    <w:p w14:paraId="0D9E127E" w14:textId="5890B42D" w:rsidR="008D52EE" w:rsidRPr="00A4754C" w:rsidRDefault="008D52EE" w:rsidP="00F13F85">
      <w:pPr>
        <w:pStyle w:val="Brdtext"/>
        <w:spacing w:after="0" w:line="360" w:lineRule="auto"/>
      </w:pPr>
    </w:p>
    <w:p w14:paraId="425D1909" w14:textId="7617A8CF" w:rsidR="008D52EE" w:rsidRPr="00A4754C" w:rsidRDefault="008D52EE" w:rsidP="0025253E">
      <w:pPr>
        <w:pStyle w:val="Brdtext"/>
        <w:spacing w:after="0"/>
      </w:pPr>
      <w:r w:rsidRPr="008D52EE">
        <w:rPr>
          <w:lang w:bidi="sv-SE"/>
        </w:rPr>
        <w:t>I SOCO 2020 undersöks handelns och marknadernas utveckling samt vilken betydelse de har för tillväxt och hållbar utveckling. I rapporten behandlas framför allt framväxten av globala värdekedjor inom livsmedels- och jordbrukssektorn, småjordbrukarnas grad av deltagande i värdekedjorna samt den digitala teknikens omvälvande effekter på marknaderna.</w:t>
      </w:r>
    </w:p>
    <w:p w14:paraId="04B3FF52" w14:textId="6354E985" w:rsidR="008D52EE" w:rsidRPr="00A4754C" w:rsidRDefault="008D52EE" w:rsidP="00F13F85">
      <w:pPr>
        <w:pStyle w:val="Brdtext"/>
        <w:spacing w:after="0" w:line="360" w:lineRule="auto"/>
      </w:pPr>
    </w:p>
    <w:p w14:paraId="4B8F88E1" w14:textId="32639E15" w:rsidR="008D52EE" w:rsidRPr="00A4754C" w:rsidRDefault="008D52EE" w:rsidP="00F1485A">
      <w:pPr>
        <w:pStyle w:val="Brdtext"/>
        <w:spacing w:after="0" w:line="240" w:lineRule="auto"/>
        <w:rPr>
          <w:b/>
          <w:bCs/>
          <w:color w:val="7030A0"/>
        </w:rPr>
      </w:pPr>
      <w:r w:rsidRPr="008D52EE">
        <w:rPr>
          <w:b/>
          <w:color w:val="7030A0"/>
          <w:lang w:bidi="sv-SE"/>
        </w:rPr>
        <w:t>UTVECKLINGEN AV HANDEL OCH MARKNADER</w:t>
      </w:r>
    </w:p>
    <w:p w14:paraId="0F6A5D41" w14:textId="322EE4BE" w:rsidR="00F1485A" w:rsidRPr="00A4754C" w:rsidRDefault="008D52EE" w:rsidP="0025253E">
      <w:pPr>
        <w:pStyle w:val="Brdtext"/>
        <w:spacing w:after="0"/>
      </w:pPr>
      <w:r w:rsidRPr="008D52EE">
        <w:rPr>
          <w:lang w:bidi="sv-SE"/>
        </w:rPr>
        <w:t>Sedan 1995 har den internationella livsmedels- och jordbrukshandeln mer än fördubblats i reala termer och uppgick 2018 till 1 500 miljarder US-dollar. Tillväxtekonomier och utvecklingsländer blir alltmer delaktiga i de globala jordbruks- och livsmedelsmarknaderna och står nu för mer än en tredjedel av världens samlade export.</w:t>
      </w:r>
    </w:p>
    <w:p w14:paraId="4C0A18B3" w14:textId="77777777" w:rsidR="00F13F85" w:rsidRPr="00A4754C" w:rsidRDefault="00F13F85" w:rsidP="00F13F85">
      <w:pPr>
        <w:pStyle w:val="Brdtext"/>
        <w:spacing w:after="0" w:line="360" w:lineRule="auto"/>
      </w:pPr>
    </w:p>
    <w:p w14:paraId="41D83E31" w14:textId="2E9638D0" w:rsidR="008D52EE" w:rsidRPr="00A4754C" w:rsidRDefault="008D52EE" w:rsidP="0025253E">
      <w:pPr>
        <w:pStyle w:val="Brdtext"/>
        <w:spacing w:after="0"/>
      </w:pPr>
      <w:r w:rsidRPr="008D52EE">
        <w:rPr>
          <w:lang w:bidi="sv-SE"/>
        </w:rPr>
        <w:t>Denna ökade handel beror på flera pådrivande faktorer. Lägre transportkostnader har lett till att det har blivit billigare att bedriva handel. Handelspolitiken och avskaffandet av importtullar – ett resultat av Världshandelsorganisationens (WTO) jordbruksavtal som trädde i kraft i januari 1995 samt många bilaterala och regionala handelsavtal – har också varit viktiga pådrivande faktorer för livsmedels- och jordbrukshandeln.</w:t>
      </w:r>
    </w:p>
    <w:p w14:paraId="540E4340" w14:textId="77777777" w:rsidR="00F13F85" w:rsidRPr="00A4754C" w:rsidRDefault="00F13F85" w:rsidP="00F13F85">
      <w:pPr>
        <w:pStyle w:val="Brdtext"/>
        <w:spacing w:after="0" w:line="360" w:lineRule="auto"/>
      </w:pPr>
    </w:p>
    <w:p w14:paraId="2E3C8C63" w14:textId="07589CFA" w:rsidR="008D52EE" w:rsidRPr="00A4754C" w:rsidRDefault="008D52EE" w:rsidP="0025253E">
      <w:pPr>
        <w:pStyle w:val="Brdtext"/>
        <w:spacing w:after="0"/>
      </w:pPr>
      <w:r w:rsidRPr="008D52EE">
        <w:rPr>
          <w:lang w:bidi="sv-SE"/>
        </w:rPr>
        <w:t>Dessa faktorer i kombination med inkomstökningar i såväl utvecklade länder som utvecklingsländer har lett till en ökad livsmedels- och jordbrukshandel. Inkomsttillväxt är även kopplad till demografiska trender, t.ex. urbanisering, som för med sig nya levnadssätt och matvanor, vilket i sin tur påverkar handeln och marknaderna.</w:t>
      </w:r>
    </w:p>
    <w:p w14:paraId="6D8AE6C7" w14:textId="77777777" w:rsidR="00F13F85" w:rsidRPr="00A4754C" w:rsidRDefault="00F13F85" w:rsidP="00F13F85">
      <w:pPr>
        <w:pStyle w:val="Brdtext"/>
        <w:spacing w:after="0" w:line="360" w:lineRule="auto"/>
      </w:pPr>
    </w:p>
    <w:p w14:paraId="102F749C" w14:textId="11A37B06" w:rsidR="00F13F85" w:rsidRPr="00A4754C" w:rsidRDefault="008D52EE" w:rsidP="0025253E">
      <w:pPr>
        <w:pStyle w:val="Brdtext"/>
        <w:spacing w:after="0"/>
      </w:pPr>
      <w:r w:rsidRPr="008D52EE">
        <w:rPr>
          <w:lang w:bidi="sv-SE"/>
        </w:rPr>
        <w:t>Efterhand som länder utvecklas konsumerar människor mindre stapelvaror och mer kött, mejeriprodukter, frukt och grönsaker. Dessa förändrade matvanor återspeglas i de internationella handelsmönstren.</w:t>
      </w:r>
    </w:p>
    <w:p w14:paraId="47B34C7A" w14:textId="77777777" w:rsidR="00F13F85" w:rsidRPr="00A4754C" w:rsidRDefault="00F13F85" w:rsidP="00F13F85">
      <w:pPr>
        <w:pStyle w:val="Brdtext"/>
        <w:spacing w:after="0" w:line="360" w:lineRule="auto"/>
      </w:pPr>
    </w:p>
    <w:p w14:paraId="4072975A" w14:textId="58590637" w:rsidR="006E1E27" w:rsidRPr="00A4754C" w:rsidRDefault="006E1E27" w:rsidP="0025253E">
      <w:pPr>
        <w:pStyle w:val="Brdtext"/>
        <w:spacing w:after="0"/>
      </w:pPr>
      <w:r w:rsidRPr="006E1E27">
        <w:rPr>
          <w:lang w:bidi="sv-SE"/>
        </w:rPr>
        <w:t xml:space="preserve">Urbaniseringen sker i snabbare takt i utvecklingsländerna än vad den gjorde i t.ex. Europa och har påverkat de inhemska livsmedelsmarknaderna. Konsumenternas preferenser för bekvämlighet, livsmedelskvalitet och livsmedelssäkerhet stärker den vertikala samordningen av livsmedelsvärdekedjor. Det finns länder i Asien, Latinamerika och Västindien där ledande stormarknadskedjor har ökat sin försäljning med upp till det tiodubbla från 2000-talets början och fram till 2018. I Afrika söder om Sahara är konsumenter i städerna också mer benägna att handla på stormarknader och de lägger en större andel av sina inkomster på att äta ute. </w:t>
      </w:r>
    </w:p>
    <w:p w14:paraId="6A5049F0" w14:textId="77777777" w:rsidR="00F13F85" w:rsidRPr="00A4754C" w:rsidRDefault="00F13F85" w:rsidP="00F13F85">
      <w:pPr>
        <w:pStyle w:val="Brdtext"/>
        <w:spacing w:after="0" w:line="360" w:lineRule="auto"/>
      </w:pPr>
    </w:p>
    <w:p w14:paraId="754CCC96" w14:textId="3B3C84EB" w:rsidR="008D52EE" w:rsidRPr="00A4754C" w:rsidRDefault="006E1E27" w:rsidP="0025253E">
      <w:pPr>
        <w:pStyle w:val="Brdtext"/>
        <w:spacing w:after="0"/>
      </w:pPr>
      <w:r w:rsidRPr="006E1E27">
        <w:rPr>
          <w:lang w:bidi="sv-SE"/>
        </w:rPr>
        <w:t xml:space="preserve">Framstegen inom digital teknik har samtidigt lett till bättre kommunikation mellan människor och har en genomgripande inverkan på ekonomier och samhällen. Bättre kommunikation leder till kulturell närhet, vilket i sin tur påverkar konsumenternas livsmedelspreferenser. I </w:t>
      </w:r>
      <w:r w:rsidRPr="006E1E27">
        <w:rPr>
          <w:lang w:bidi="sv-SE"/>
        </w:rPr>
        <w:lastRenderedPageBreak/>
        <w:t xml:space="preserve">och med att det blir lättare för jordbrukare och företag att kommunicera får de också bättre förutsättningar att samordna sin verksamhet över gränserna och bli en del av de globala värdekedjorna. I den här rapporten görs uppskattningen att ungefär en tredjedel av livsmedels- och jordbrukshandeln äger rum inom globala värdekedjor och korsar gränserna minst två gånger, eftersom primära råvaror först exporteras för att förädlas till livsmedelsprodukter som sedan exporteras tillbaka igen. </w:t>
      </w:r>
    </w:p>
    <w:p w14:paraId="6AEED5C0" w14:textId="678B121F" w:rsidR="006E1E27" w:rsidRPr="00A4754C" w:rsidRDefault="006E1E27" w:rsidP="00F1485A">
      <w:pPr>
        <w:pStyle w:val="Brdtext"/>
        <w:spacing w:line="240" w:lineRule="auto"/>
      </w:pPr>
    </w:p>
    <w:p w14:paraId="477EE17A" w14:textId="1500E272" w:rsidR="006E1E27" w:rsidRPr="00A4754C" w:rsidRDefault="006E1E27" w:rsidP="0025253E">
      <w:pPr>
        <w:pStyle w:val="Brdtext"/>
        <w:spacing w:after="0"/>
      </w:pPr>
      <w:r w:rsidRPr="006E1E27">
        <w:rPr>
          <w:lang w:bidi="sv-SE"/>
        </w:rPr>
        <w:t>Utvecklingen inom den internationella handeln och den jordbruksbaserade livsmedelsindustrins globala värdekedjor avbröts i och med finanskrisen 2008. Därefter har handeln och de globala värdekedjorna påverkats av avmattningen inom den globala ekonomin, särskilt inom tillväxtekonomierna. Under första delen av 2020 har både de inhemska och de globala marknaderna än en gång ställts inför stora utmaningar i och med covid-19-utbrottet och de restriktioner för människors rörlighet och internationella resor som infördes för att begränsa spridningen. Pandemin och dess effekter på den globala ekonomin väntas få stor inverkan på handeln. WTO menade att världens varuhandel skulle rasa med 13–32 procent på grund av covid-19-pandemins störande inverkan på ekonomin.</w:t>
      </w:r>
    </w:p>
    <w:p w14:paraId="5DFBF266" w14:textId="77777777" w:rsidR="00F13F85" w:rsidRPr="00A4754C" w:rsidRDefault="00F13F85" w:rsidP="00F13F85">
      <w:pPr>
        <w:pStyle w:val="Brdtext"/>
        <w:spacing w:after="0" w:line="360" w:lineRule="auto"/>
      </w:pPr>
    </w:p>
    <w:p w14:paraId="44324229" w14:textId="3FE55EDB" w:rsidR="006E1E27" w:rsidRPr="00A4754C" w:rsidRDefault="006E1E27" w:rsidP="0025253E">
      <w:pPr>
        <w:pStyle w:val="Brdtext"/>
        <w:spacing w:after="0"/>
      </w:pPr>
      <w:r w:rsidRPr="006E1E27">
        <w:rPr>
          <w:lang w:bidi="sv-SE"/>
        </w:rPr>
        <w:t>Mot bakgrund av rörelserestriktionerna lägger myndigheterna och den privata sektorn stor vikt vid att upprätthålla fungerande livsmedelsvärdekedjor. Insatser görs för att koppla livsmedelsproducerande områden till tätortsområden med hjälp av särskilda kanaler (efter säkerhetsåtgärder som testning, fysisk distansering och andra hygienrutiner) för att påskynda leveranserna av näringsrika färskvaror till drabbade befolkningsgrupper. På global nivå har beslutsfattare i många större livsmedelsexporterande länder förbundit sig att inte införa restriktiva handelsåtgärder, t.ex. exportförbud, för att säkerställa att handeln kan fortsätta bidra till att livsmedels- och jordbruksprodukter förflyttas från överskotts- till underskottsregioner, och på så sätt främja en trygg livsmedelsförsörjning globalt.</w:t>
      </w:r>
    </w:p>
    <w:p w14:paraId="5D74BBBE" w14:textId="12F877FF" w:rsidR="00ED2A9C" w:rsidRPr="00A4754C" w:rsidRDefault="00ED2A9C" w:rsidP="00ED2A9C">
      <w:pPr>
        <w:pStyle w:val="Brdtext"/>
        <w:spacing w:after="0" w:line="240" w:lineRule="auto"/>
      </w:pPr>
    </w:p>
    <w:p w14:paraId="61202B54" w14:textId="77777777" w:rsidR="00ED2A9C" w:rsidRPr="00A4754C" w:rsidRDefault="00ED2A9C" w:rsidP="00ED2A9C">
      <w:pPr>
        <w:pStyle w:val="Brdtext"/>
        <w:spacing w:after="0" w:line="240" w:lineRule="auto"/>
      </w:pPr>
    </w:p>
    <w:p w14:paraId="3FE835A2" w14:textId="585D84A6" w:rsidR="006E1E27" w:rsidRPr="00A4754C" w:rsidRDefault="006E1E27" w:rsidP="00ED2A9C">
      <w:pPr>
        <w:pStyle w:val="Brdtext"/>
        <w:spacing w:after="0" w:line="240" w:lineRule="auto"/>
        <w:rPr>
          <w:b/>
          <w:bCs/>
          <w:color w:val="7030A0"/>
        </w:rPr>
      </w:pPr>
      <w:r w:rsidRPr="006E1E27">
        <w:rPr>
          <w:b/>
          <w:color w:val="7030A0"/>
          <w:lang w:bidi="sv-SE"/>
        </w:rPr>
        <w:t>GLOBALA JORDBRUKS- OCH LIVSMEDELSVÄRDEKEDJORS BIDRAG TILL EKONOMISK TILLVÄXT</w:t>
      </w:r>
    </w:p>
    <w:p w14:paraId="71BE7B7F" w14:textId="0F6E5429" w:rsidR="00ED2A9C" w:rsidRPr="00A4754C" w:rsidRDefault="006E1E27" w:rsidP="0025253E">
      <w:pPr>
        <w:pStyle w:val="Brdtext"/>
        <w:spacing w:after="0"/>
      </w:pPr>
      <w:r w:rsidRPr="006E1E27">
        <w:rPr>
          <w:lang w:bidi="sv-SE"/>
        </w:rPr>
        <w:t>Globala värdekedjor har blivit en viktig del av livsmedels- och jordbrukshandeln. Med globala värdekedjor delas de olika stegen av produktionsprocessen upp mellan olika länder för att uppnå effektivitetsvinster. På så sätt kan jordbrukare och företag i utvecklingsländerna övervinna de begränsningar som uppstår när det saknas välutvecklade och exportinriktade inhemska livsmedelssektorer. Människor har fler möjligheter att delta på de globala marknaderna och kan bättre utnyttja den komparativa fördelen i den del av värdekedjan som de själva väljer.</w:t>
      </w:r>
    </w:p>
    <w:p w14:paraId="169F6750" w14:textId="77777777" w:rsidR="00ED2A9C" w:rsidRPr="00A4754C" w:rsidRDefault="00ED2A9C" w:rsidP="00ED2A9C">
      <w:pPr>
        <w:pStyle w:val="Brdtext"/>
        <w:spacing w:after="0" w:line="360" w:lineRule="auto"/>
      </w:pPr>
    </w:p>
    <w:p w14:paraId="2722B8B4" w14:textId="0C112913" w:rsidR="006E1E27" w:rsidRPr="00A4754C" w:rsidRDefault="006E1E27" w:rsidP="0025253E">
      <w:pPr>
        <w:pStyle w:val="Brdtext"/>
        <w:spacing w:after="0"/>
      </w:pPr>
      <w:r w:rsidRPr="006E1E27">
        <w:rPr>
          <w:lang w:bidi="sv-SE"/>
        </w:rPr>
        <w:t xml:space="preserve">För utvecklingsländernas del kan globala värdekedjor vara en viktig tillväxtmöjlighet. Eftersom de globala värdekedjorna är nära samordnade kan de förstärka den internationella handelns tillväxteffekter i form av att teknik och kunskap sprids, vilket kan leda till ökad produktivitet, förbättrade sysselsättningsmöjligheter och ökade intäkter. Forskning som har </w:t>
      </w:r>
      <w:r w:rsidRPr="006E1E27">
        <w:rPr>
          <w:lang w:bidi="sv-SE"/>
        </w:rPr>
        <w:lastRenderedPageBreak/>
        <w:t>genomförts för SOCO 2020 indikerar att om jordbrukets deltagande i de globala värdekedjorna ökar med 10 procent kan det på kort sikt leda till att arbetsproduktiviteten ökar med cirka 1,2 procent i genomsnitt. Denna omedelbara påverkan får även långvariga positiva produktivitetseffekter som kan innebära viktiga fördelar för utvecklingsländerna.</w:t>
      </w:r>
    </w:p>
    <w:p w14:paraId="096186E3" w14:textId="77777777" w:rsidR="00ED2A9C" w:rsidRPr="00A4754C" w:rsidRDefault="00ED2A9C" w:rsidP="00ED2A9C">
      <w:pPr>
        <w:pStyle w:val="Brdtext"/>
        <w:spacing w:after="0" w:line="360" w:lineRule="auto"/>
      </w:pPr>
    </w:p>
    <w:p w14:paraId="0114807F" w14:textId="69899FD3" w:rsidR="006E1E27" w:rsidRPr="00A4754C" w:rsidRDefault="006E1E27" w:rsidP="0025253E">
      <w:pPr>
        <w:pStyle w:val="Brdtext"/>
        <w:spacing w:after="0"/>
      </w:pPr>
      <w:r w:rsidRPr="006E1E27">
        <w:rPr>
          <w:lang w:bidi="sv-SE"/>
        </w:rPr>
        <w:t>Ökat deltagande i de globala värdekedjorna kan ha både positiva och negativa effekter på miljön. Å ena sidan främjar de globala värdekedjorna tillväxt, å andra sidan behöver de inte nödvändigtvis leda till en bättre förvaltning av naturresurserna. Det finns t.ex. en oro för att den ökade vegetabiliska exportproduktionen, som är ett resultat av den öppna handeln, bidrar till avskogning. Globala värdekedjor som är i linje med målen för hållbar utveckling och t.ex. överensstämmer med regelverk och standarder, kan emellertid sprida en hållbar teknik och praxis. Samtidigt kan de främja produktivitets- och inkomsttillväxt länder emellan. Det krävs en aktiv insats för att göra handeln hållbar.</w:t>
      </w:r>
    </w:p>
    <w:p w14:paraId="5FC55065" w14:textId="54873DA2" w:rsidR="00ED2A9C" w:rsidRPr="00A4754C" w:rsidRDefault="00ED2A9C" w:rsidP="00ED2A9C">
      <w:pPr>
        <w:pStyle w:val="Brdtext"/>
        <w:spacing w:after="0" w:line="360" w:lineRule="auto"/>
      </w:pPr>
    </w:p>
    <w:p w14:paraId="7C8B5146" w14:textId="766E5BA0" w:rsidR="006E1E27" w:rsidRPr="00A4754C" w:rsidRDefault="006E1E27" w:rsidP="0025253E">
      <w:pPr>
        <w:pStyle w:val="Brdtext"/>
        <w:spacing w:after="0"/>
      </w:pPr>
      <w:r w:rsidRPr="006E1E27">
        <w:rPr>
          <w:lang w:bidi="sv-SE"/>
        </w:rPr>
        <w:t>Handelspolitiken är av central betydelse. Eftersom de globala värdekedjorna omfattar flera olika länder, passerar produkterna gränser flera gånger om och tullbeläggs vid varje enskild gräns. Färre och lägre handelshinder kan bidra till att främja globala värdekedjor. För utvecklingsländerna är detta viktigt. Om importtullarna längs en global värdekedja sänks, kan det leda till ökad import av insatsvaror och mellanprodukter. Detta kan i sin tur stimulera produktion och import, vilket leder till stora vinster i fråga om produktivitet, sysselsättning och inkomster.</w:t>
      </w:r>
    </w:p>
    <w:p w14:paraId="02BE07FC" w14:textId="77777777" w:rsidR="00ED2A9C" w:rsidRPr="00A4754C" w:rsidRDefault="00ED2A9C" w:rsidP="00ED2A9C">
      <w:pPr>
        <w:pStyle w:val="Brdtext"/>
        <w:spacing w:after="0" w:line="360" w:lineRule="auto"/>
      </w:pPr>
    </w:p>
    <w:p w14:paraId="1F3365C3" w14:textId="39037C72" w:rsidR="006E1E27" w:rsidRPr="00A4754C" w:rsidRDefault="006E1E27" w:rsidP="0025253E">
      <w:pPr>
        <w:pStyle w:val="Brdtext"/>
        <w:spacing w:after="0"/>
      </w:pPr>
      <w:r w:rsidRPr="006E1E27">
        <w:rPr>
          <w:lang w:bidi="sv-SE"/>
        </w:rPr>
        <w:t>När de globala marknaderna öppnas och de globala värdekedjorna främjas kan detta ge upphov till viktiga spridningseffekter genom att teknik och kunskap överförs. Men för att detta ska ge bestående vinster krävs kompletterande politiska åtgärder som stöder konkurrenskraften, t.ex. åtgärder som förbättrar styrning och infrastruktur, höjer kompetensen och gör arbetsmarknaderna mer flexibla. Det finns dock en oro när det gäller de kortsiktiga effekterna av att handeln öppnas, särskilt med tanke på vilka konsekvenser detta kan få för inkomstfördelning och bristande jämlikhet.</w:t>
      </w:r>
    </w:p>
    <w:p w14:paraId="1EE36EEA" w14:textId="77777777" w:rsidR="00ED2A9C" w:rsidRPr="00A4754C" w:rsidRDefault="00ED2A9C" w:rsidP="00ED2A9C">
      <w:pPr>
        <w:pStyle w:val="Brdtext"/>
        <w:spacing w:after="0" w:line="360" w:lineRule="auto"/>
      </w:pPr>
    </w:p>
    <w:p w14:paraId="1190A73D" w14:textId="3960EBC3" w:rsidR="006E1E27" w:rsidRPr="00A4754C" w:rsidRDefault="006E1E27" w:rsidP="0025253E">
      <w:pPr>
        <w:pStyle w:val="Brdtext"/>
        <w:spacing w:after="0"/>
      </w:pPr>
      <w:r w:rsidRPr="006E1E27">
        <w:rPr>
          <w:lang w:bidi="sv-SE"/>
        </w:rPr>
        <w:t>Regionala handelsavtal kan även vara avgörande för att främja handeln inom de globala värdekedjorna. Lägre tullsatser mellan de undertecknande länderna kan främja en vertikal samordning och värdekedjor. Om många ekonomiska sektorer omfattas av sådana avtal kan detta stärka deras effekt på den jordbruksbaserade livsmedelsindustrins globala värdekedjor, eftersom en betydande andel av den jordbruksbaserade livsmedelsexportens värde härrör från andra sektorer än livsmedel eller jordbruk. Globalt sett kommer cirka 38 procent av livsmedelsexportens mervärde från importerade tjänster.</w:t>
      </w:r>
    </w:p>
    <w:p w14:paraId="56416F35" w14:textId="77777777" w:rsidR="00ED2A9C" w:rsidRPr="00A4754C" w:rsidRDefault="00ED2A9C" w:rsidP="00ED2A9C">
      <w:pPr>
        <w:pStyle w:val="Brdtext"/>
        <w:spacing w:after="0" w:line="360" w:lineRule="auto"/>
      </w:pPr>
    </w:p>
    <w:p w14:paraId="6147DD3C" w14:textId="1E0047F4" w:rsidR="006E1E27" w:rsidRPr="00A4754C" w:rsidRDefault="006E1E27" w:rsidP="0025253E">
      <w:pPr>
        <w:pStyle w:val="Brdtext"/>
        <w:spacing w:after="0"/>
      </w:pPr>
      <w:r w:rsidRPr="006E1E27">
        <w:rPr>
          <w:lang w:bidi="sv-SE"/>
        </w:rPr>
        <w:t xml:space="preserve">Regionala handelsavtal kan även innehålla klausuler om konkurrenspolitik eller harmonisering av standarder, vilket resulterar i en reformerad politik och en hög grad av integration mellan de undertecknande länderna. Även om många ser dessa avtal som beståndsdelar i ett globalt </w:t>
      </w:r>
      <w:r w:rsidRPr="006E1E27">
        <w:rPr>
          <w:lang w:bidi="sv-SE"/>
        </w:rPr>
        <w:lastRenderedPageBreak/>
        <w:t>handelssystem, bör den ökade tonvikten på den regionala handeln även kompletteras med att den multilaterala handeln främjas så att den bidrar till den ekonomiska tillväxten i länderna. Ett sådant exempel är länderna i Afrika söder om Sahara som i första hand har globala och inte regionala handelspartner.</w:t>
      </w:r>
    </w:p>
    <w:p w14:paraId="0BD50B26" w14:textId="34135C71" w:rsidR="00ED2A9C" w:rsidRPr="00A4754C" w:rsidRDefault="00ED2A9C" w:rsidP="00ED2A9C">
      <w:pPr>
        <w:pStyle w:val="Brdtext"/>
        <w:spacing w:after="0" w:line="240" w:lineRule="auto"/>
      </w:pPr>
    </w:p>
    <w:p w14:paraId="65CE21B5" w14:textId="77777777" w:rsidR="00ED2A9C" w:rsidRPr="00A4754C" w:rsidRDefault="00ED2A9C" w:rsidP="00ED2A9C">
      <w:pPr>
        <w:pStyle w:val="Brdtext"/>
        <w:spacing w:after="0" w:line="240" w:lineRule="auto"/>
      </w:pPr>
    </w:p>
    <w:p w14:paraId="1A49D93B" w14:textId="7580CC16" w:rsidR="006E1E27" w:rsidRPr="00A4754C" w:rsidRDefault="006E1E27" w:rsidP="00ED2A9C">
      <w:pPr>
        <w:pStyle w:val="Brdtext"/>
        <w:spacing w:after="0" w:line="240" w:lineRule="auto"/>
        <w:rPr>
          <w:b/>
          <w:bCs/>
          <w:color w:val="7030A0"/>
        </w:rPr>
      </w:pPr>
      <w:r w:rsidRPr="006E1E27">
        <w:rPr>
          <w:b/>
          <w:color w:val="7030A0"/>
          <w:lang w:bidi="sv-SE"/>
        </w:rPr>
        <w:t>EFFEKTERNA AV COVID-19 PÅ JORDBRUKS- OCH LIVSMEDELSHANDELN OCH DE GLOBALA VÄRDEKEDJORNA</w:t>
      </w:r>
    </w:p>
    <w:p w14:paraId="4419AD34" w14:textId="47DBF15B" w:rsidR="006E1E27" w:rsidRPr="00A4754C" w:rsidRDefault="006E1E27" w:rsidP="0025253E">
      <w:pPr>
        <w:pStyle w:val="Brdtext"/>
        <w:spacing w:after="0"/>
      </w:pPr>
      <w:r w:rsidRPr="006E1E27">
        <w:rPr>
          <w:lang w:bidi="sv-SE"/>
        </w:rPr>
        <w:t>Finanskrisen 2008 och den efterföljande ekonomiska avmattningen ledde till att utvecklingen i den jordbruksbaserade livsmedelsindustrins globala värdekedjor stannade av. Covid-19-pandemin väntas ytterligare hämma dessa värdekedjors potential för global handel och tillväxt. De globala värdekedjorna främjar handelsförbindelser som kanaliserar teknik- och kunskapsspridning under perioder av ekonomisk tillväxt, och på motsvarande sätt även kan överföra ekonomiska chocker med följdverkningar. Företag kan hantera avvägningen mellan effektivitet och motståndskraft mot den ekonomiska nedgången genom att använda sig av ett tillvägagångssätt där livsmedelsproduktionen lokaliseras genom att återflytta livsmedelsverksamhet till närområdet i de fall då detta är möjligt.</w:t>
      </w:r>
    </w:p>
    <w:p w14:paraId="5BC710B7" w14:textId="77777777" w:rsidR="00ED2A9C" w:rsidRPr="00A4754C" w:rsidRDefault="00ED2A9C" w:rsidP="00ED2A9C">
      <w:pPr>
        <w:pStyle w:val="Brdtext"/>
        <w:spacing w:after="0" w:line="360" w:lineRule="auto"/>
      </w:pPr>
    </w:p>
    <w:p w14:paraId="03C752CE" w14:textId="5D1490FE" w:rsidR="006E1E27" w:rsidRPr="00A4754C" w:rsidRDefault="006E1E27" w:rsidP="0025253E">
      <w:pPr>
        <w:pStyle w:val="Brdtext"/>
        <w:spacing w:after="0"/>
      </w:pPr>
      <w:r w:rsidRPr="006E1E27">
        <w:rPr>
          <w:lang w:bidi="sv-SE"/>
        </w:rPr>
        <w:t>Sådana strategier kan till stor del motverka de effektivitetsvinster som är kopplade till den komparativa fördelen och kan resultera i att de inhemska livsmedelspriserna ökar – vilket inte är önskvärt i perioder då inkomsterna minskar. Att förlita sig till livsmedel och jordbruk från både inhemska källor och ett flertal källor världen över ger en form av motståndskraft mot otrygghet i livsmedelsförsörjningen och ekonomiska nedgångar. Vad som behövs vid globala chocker som finanskrisen 2008 och covid-19-pandemin är inte åtgärder som främjar självförsörjning av livsmedel utan snarare internationell samverkan och samordning, särskilt om effekterna inte uppstår i alla länder samtidigt. Handeln är därför en effektiv möjlighet att bättre hantera de risker som uppstår på grund av en chock och förbättra motståndskraften. I samband med covid-19 kan insatser för att minimera störningen i de globala värdekedjorna och främja jordbruks- och livsmedelshandeln ge fördelar på både kort och lång sikt.</w:t>
      </w:r>
    </w:p>
    <w:p w14:paraId="790B474C" w14:textId="40BB2572" w:rsidR="006E1E27" w:rsidRPr="00A4754C" w:rsidRDefault="006E1E27" w:rsidP="00F1485A">
      <w:pPr>
        <w:pStyle w:val="Brdtext"/>
        <w:spacing w:line="240" w:lineRule="auto"/>
      </w:pPr>
    </w:p>
    <w:p w14:paraId="6698638C" w14:textId="351031D8" w:rsidR="006E1E27" w:rsidRPr="00A4754C" w:rsidRDefault="006E1E27" w:rsidP="00ED2A9C">
      <w:pPr>
        <w:pStyle w:val="Brdtext"/>
        <w:spacing w:after="0" w:line="240" w:lineRule="auto"/>
        <w:rPr>
          <w:b/>
          <w:bCs/>
          <w:color w:val="7030A0"/>
        </w:rPr>
      </w:pPr>
      <w:r w:rsidRPr="006E1E27">
        <w:rPr>
          <w:b/>
          <w:color w:val="7030A0"/>
          <w:lang w:bidi="sv-SE"/>
        </w:rPr>
        <w:t>INTEGRERA SMÅJORDBRUKARE I VÄRDEKEDJOR FÖR HÅLLBAR UTVECKLING</w:t>
      </w:r>
    </w:p>
    <w:p w14:paraId="001B8906" w14:textId="48339454" w:rsidR="006E1E27" w:rsidRPr="00A4754C" w:rsidRDefault="006E1E27" w:rsidP="0025253E">
      <w:pPr>
        <w:pStyle w:val="Brdtext"/>
        <w:spacing w:after="0"/>
      </w:pPr>
      <w:r w:rsidRPr="006E1E27">
        <w:rPr>
          <w:lang w:bidi="sv-SE"/>
        </w:rPr>
        <w:t>Förhållandet mellan handel och tillväxt är komplext och det har länge diskuterats vilken effekt globaliseringen har på inkomstfördelningen mellan och inom länder. När handeln ökar är detta något alla länder vinner på, och många får en snabb tillväxttakt. Men samtidigt kan skillnaden mellan utvecklingsländer med låga inkomster och utvecklings- och tillväxtländerna öka alltmer. Vissa analytiker menar att globaliseringskrafterna inte gynnar dem som inte kan konkurrera globalt.</w:t>
      </w:r>
    </w:p>
    <w:p w14:paraId="7DCE2A16" w14:textId="77777777" w:rsidR="00ED2A9C" w:rsidRPr="00A4754C" w:rsidRDefault="00ED2A9C" w:rsidP="00ED2A9C">
      <w:pPr>
        <w:pStyle w:val="Brdtext"/>
        <w:spacing w:after="0" w:line="360" w:lineRule="auto"/>
      </w:pPr>
    </w:p>
    <w:p w14:paraId="4E22561C" w14:textId="1E05731E" w:rsidR="006E1E27" w:rsidRPr="00A4754C" w:rsidRDefault="006E1E27" w:rsidP="0025253E">
      <w:pPr>
        <w:pStyle w:val="Brdtext"/>
        <w:spacing w:after="0"/>
      </w:pPr>
      <w:r w:rsidRPr="006E1E27">
        <w:rPr>
          <w:lang w:bidi="sv-SE"/>
        </w:rPr>
        <w:t xml:space="preserve">Inom jordbruk är t.ex. en viktig fråga hur småjordbrukare ska integreras i marknader, såväl globala som inhemska, och inkluderas i utvecklingsprocessen. I utvecklingsländerna använder nästan alla jordbrukare marknader för att köpa och sälja. Men marknaderna fungerar dåligt </w:t>
      </w:r>
      <w:r w:rsidRPr="006E1E27">
        <w:rPr>
          <w:lang w:bidi="sv-SE"/>
        </w:rPr>
        <w:lastRenderedPageBreak/>
        <w:t>och transaktionskostnaderna är höga. Många småjordbrukare har låg kommersialiseringsgrad. För många är försäkrings- eller lånemarknaderna bristfälliga och saknas helt. Detta får betydande konsekvenser för en tryggad livsmedelsförsörjning, försörjningsmöjligheter och utveckling.</w:t>
      </w:r>
    </w:p>
    <w:p w14:paraId="3A09DFBE" w14:textId="615E1AB1" w:rsidR="006E1E27" w:rsidRDefault="006E1E27" w:rsidP="0025253E">
      <w:pPr>
        <w:pStyle w:val="Brdtext"/>
        <w:spacing w:before="240" w:after="0"/>
        <w:rPr>
          <w:lang w:bidi="sv-SE"/>
        </w:rPr>
      </w:pPr>
      <w:r w:rsidRPr="006E1E27">
        <w:rPr>
          <w:lang w:bidi="sv-SE"/>
        </w:rPr>
        <w:t>Framväxten av globala livsmedelskedjor, med strikta krav på livsmedelskvalitet och livsmedelssäkerhet, kan leda till att småjordbrukarna marginaliseras ytterligare. Här krävs det breda politiska åtgärder för att skapa förutsättningar som får marknaderna att blomstra – t.ex. bättre infrastruktur och tjänster, utbildning och produktionsteknik på landsbygden. Utöver dessa politiska åtgärder kan inkluderande affärsmodeller, t.ex. kontraktsjordbruk som drivs av den privata sektorn och stöds av myndigheter och det civila samhället, hjälpa jordbrukarna att bli integrerade i moderna och mer komplexa värdekedjor.</w:t>
      </w:r>
    </w:p>
    <w:p w14:paraId="7232E026" w14:textId="77777777" w:rsidR="00364D48" w:rsidRPr="00A4754C" w:rsidRDefault="00364D48" w:rsidP="0025253E">
      <w:pPr>
        <w:pStyle w:val="Brdtext"/>
        <w:spacing w:before="240" w:after="0"/>
      </w:pPr>
    </w:p>
    <w:p w14:paraId="039EDF1C" w14:textId="52F195AD" w:rsidR="006E1E27" w:rsidRPr="00A4754C" w:rsidRDefault="006E1E27" w:rsidP="0025253E">
      <w:pPr>
        <w:pStyle w:val="Brdtext"/>
        <w:spacing w:after="0"/>
      </w:pPr>
      <w:r w:rsidRPr="006E1E27">
        <w:rPr>
          <w:lang w:bidi="sv-SE"/>
        </w:rPr>
        <w:t>Innovativa lösningar omfattar även mångfasetterade program som tar ett samlat grepp på de många hinder som jordbrukare möter i fråga om marknadsföring, teknik och finansiering. System för kontraktsjordbruk kan t.ex. motverka marknadsbrister som är kopplade till prisrisken och tillgången till produktiva insatsvaror och lån samt till teknik och kunskap. De kan leda till förbättrad produktivitet, ökad kommersialiseringsgrad, högre inkomster och minskad fattigdom. Även om kontraktsjordbruk kan ge bättre tillgång till värdekedjor och generera fördelar för många småjordbrukare, kan effekterna variera stort.</w:t>
      </w:r>
    </w:p>
    <w:p w14:paraId="1907FC38" w14:textId="77777777" w:rsidR="00ED2A9C" w:rsidRPr="00A4754C" w:rsidRDefault="00ED2A9C" w:rsidP="00ED2A9C">
      <w:pPr>
        <w:pStyle w:val="Brdtext"/>
        <w:spacing w:after="0" w:line="360" w:lineRule="auto"/>
      </w:pPr>
    </w:p>
    <w:p w14:paraId="277552E4" w14:textId="50398B05" w:rsidR="006E1E27" w:rsidRPr="00A4754C" w:rsidRDefault="006E1E27" w:rsidP="0025253E">
      <w:pPr>
        <w:pStyle w:val="Brdtext"/>
        <w:spacing w:after="0"/>
      </w:pPr>
      <w:r w:rsidRPr="006E1E27">
        <w:rPr>
          <w:lang w:bidi="sv-SE"/>
        </w:rPr>
        <w:t>Kontraktssystem kan exkludera jordbrukare med mycket små arealer och därför inte åtgärda bristande jämlikhet fullt ut. De kan även drabbas av omsvängningar och det förekommer ofta att de går omkull. Utträdesprocenten är hög eftersom jordbrukare går in och ut ur kontrakt. Detta kan bero på att jordbrukarna har svårt att uppfylla kvalitetskraven eller att det inte lönar sig att delta jämfört med andra alternativ. Om marknader och värdekedjor ska kunna bidra till utveckling krävs varaktigt deltagande. Kontraktsjordbruket ger jordbrukare mer omfattande positiva effekter om de deltar kontinuerligt, eftersom det tar tid innan investeringar i produktionstillgångar, teknik och kunskap genererar fördelar.</w:t>
      </w:r>
    </w:p>
    <w:p w14:paraId="4A971057" w14:textId="77777777" w:rsidR="00ED2A9C" w:rsidRPr="00A4754C" w:rsidRDefault="00ED2A9C" w:rsidP="00ED2A9C">
      <w:pPr>
        <w:pStyle w:val="Brdtext"/>
        <w:spacing w:after="0" w:line="360" w:lineRule="auto"/>
      </w:pPr>
    </w:p>
    <w:p w14:paraId="57FB137C" w14:textId="17730BF5" w:rsidR="006E1E27" w:rsidRPr="00A4754C" w:rsidRDefault="006E1E27" w:rsidP="0025253E">
      <w:pPr>
        <w:pStyle w:val="Brdtext"/>
        <w:spacing w:after="0"/>
      </w:pPr>
      <w:r w:rsidRPr="006E1E27">
        <w:rPr>
          <w:lang w:bidi="sv-SE"/>
        </w:rPr>
        <w:t>Ökad kommersialisering och handel kan ge förbättrade inkomster och försörjningsmöjligheter, men samtidigt få oönskade miljökonsekvenser. Om öppen handel och globalisering stimulerar till en intensifiering av jordbruksproduktionen för export, kan detta resultera i vattenföroreningar, ökade växthusgasutsläpp och en förlust av biologisk mångfald. Detta medför kostnader för samhället som helhet i form av t.ex. låg vattenkvalitet, global uppvärmning och minskad växtpollinering.</w:t>
      </w:r>
    </w:p>
    <w:p w14:paraId="339E7DDC" w14:textId="77777777" w:rsidR="00ED2A9C" w:rsidRPr="00A4754C" w:rsidRDefault="00ED2A9C" w:rsidP="00ED2A9C">
      <w:pPr>
        <w:pStyle w:val="Brdtext"/>
        <w:spacing w:after="0" w:line="360" w:lineRule="auto"/>
      </w:pPr>
    </w:p>
    <w:p w14:paraId="4F773F9A" w14:textId="071DF779" w:rsidR="006E1E27" w:rsidRPr="00A4754C" w:rsidRDefault="006E1E27" w:rsidP="0025253E">
      <w:pPr>
        <w:pStyle w:val="Brdtext"/>
        <w:spacing w:after="0"/>
      </w:pPr>
      <w:r w:rsidRPr="006E1E27">
        <w:rPr>
          <w:lang w:bidi="sv-SE"/>
        </w:rPr>
        <w:t xml:space="preserve">Myndigheterna har en rad olika politiska verktyg för att hantera dessa kostnader. Skatter kan t.ex. få marknaderna att beakta olika miljökostnader för samhället. Vid sidan av de offentliga politikåtgärderna finns det också vissa arrangemang som kan få marknaderna att se till så att privata och offentliga strävanden drar åt samma håll, särskilt i fråga om globala värdekedjor. </w:t>
      </w:r>
      <w:r w:rsidRPr="006E1E27">
        <w:rPr>
          <w:lang w:bidi="sv-SE"/>
        </w:rPr>
        <w:lastRenderedPageBreak/>
        <w:t>Om värdekedjor kombineras med system för hållbarhetscertifiering kan det utvecklas marknader för hållbart producerade livsmedel.</w:t>
      </w:r>
    </w:p>
    <w:p w14:paraId="23AB9647" w14:textId="77777777" w:rsidR="00ED2A9C" w:rsidRPr="00A4754C" w:rsidRDefault="00ED2A9C" w:rsidP="00ED2A9C">
      <w:pPr>
        <w:pStyle w:val="Brdtext"/>
        <w:spacing w:after="0" w:line="360" w:lineRule="auto"/>
      </w:pPr>
    </w:p>
    <w:p w14:paraId="3CA33405" w14:textId="25D06663" w:rsidR="006E1E27" w:rsidRPr="00A4754C" w:rsidRDefault="006E1E27" w:rsidP="0025253E">
      <w:pPr>
        <w:pStyle w:val="Brdtext"/>
        <w:spacing w:after="0"/>
      </w:pPr>
      <w:r w:rsidRPr="006E1E27">
        <w:rPr>
          <w:lang w:bidi="sv-SE"/>
        </w:rPr>
        <w:t>Hållbarhetsprodukter blir allt viktigare på de globala marknaderna, särskilt för högvärdiga produkter med etablerade länkar till de globala värdekedjorna. Konsumenternas ökade efterfrågan på hållbart certifierade produkter har lett till en ökad andel hållbarhetscertifierad jordbruksmark. Ungefär en fjärdedel av världens kaffe- och kakaoarealer är certifierade genom hållbarhetsstandarder som har utvecklats av icke-statliga organisationer och den privata sektorn. Marknaden ger information om priser. Genom att se till så att marknadsmekanismen även tillhandahåller information om hur livsmedel produceras och om de fördelar de innebär för miljö och samhälle kan avvägningarna mellan ekonomiska, sociala och miljömässiga mål hanteras.</w:t>
      </w:r>
    </w:p>
    <w:p w14:paraId="46F4A740" w14:textId="2C23EBD0" w:rsidR="006E1E27" w:rsidRPr="00A4754C" w:rsidRDefault="006E1E27" w:rsidP="00F1485A">
      <w:pPr>
        <w:pStyle w:val="Brdtext"/>
        <w:spacing w:line="240" w:lineRule="auto"/>
      </w:pPr>
    </w:p>
    <w:p w14:paraId="791A49E0" w14:textId="4D850319" w:rsidR="006E1E27" w:rsidRPr="00A4754C" w:rsidRDefault="006E1E27" w:rsidP="00ED2A9C">
      <w:pPr>
        <w:pStyle w:val="Brdtext"/>
        <w:spacing w:after="0" w:line="240" w:lineRule="auto"/>
        <w:rPr>
          <w:b/>
          <w:bCs/>
          <w:color w:val="7030A0"/>
        </w:rPr>
      </w:pPr>
      <w:r w:rsidRPr="006E1E27">
        <w:rPr>
          <w:b/>
          <w:color w:val="7030A0"/>
          <w:lang w:bidi="sv-SE"/>
        </w:rPr>
        <w:t>DEN DIGITALA TEKNIKENS OMVÄLVANDE INVERKAN PÅ MARKNADERNA</w:t>
      </w:r>
    </w:p>
    <w:p w14:paraId="436B0A9B" w14:textId="264115E4" w:rsidR="00ED2A9C" w:rsidRPr="00A4754C" w:rsidRDefault="006E1E27" w:rsidP="0025253E">
      <w:pPr>
        <w:pStyle w:val="Brdtext"/>
        <w:spacing w:after="0"/>
      </w:pPr>
      <w:r w:rsidRPr="006E1E27">
        <w:rPr>
          <w:lang w:bidi="sv-SE"/>
        </w:rPr>
        <w:t>Digital teknik förändrar snabbt alla steg av värdekedjan, från gård till bord. När denna teknik införs leder det till ökad effektivitet, nya arbetstillfällen och resursbesparingar. Men digital teknik kan även störa, förändra eller avlägsna värdekedjans aktiviteter och produkter.</w:t>
      </w:r>
    </w:p>
    <w:p w14:paraId="29F1800E" w14:textId="77777777" w:rsidR="00ED2A9C" w:rsidRPr="00A4754C" w:rsidRDefault="00ED2A9C" w:rsidP="00ED2A9C">
      <w:pPr>
        <w:pStyle w:val="Brdtext"/>
        <w:spacing w:after="0" w:line="360" w:lineRule="auto"/>
      </w:pPr>
    </w:p>
    <w:p w14:paraId="27A73CFC" w14:textId="3346EFD2" w:rsidR="006E1E27" w:rsidRPr="00A4754C" w:rsidRDefault="006E1E27" w:rsidP="0025253E">
      <w:pPr>
        <w:pStyle w:val="Brdtext"/>
      </w:pPr>
      <w:r w:rsidRPr="006E1E27">
        <w:rPr>
          <w:lang w:bidi="sv-SE"/>
        </w:rPr>
        <w:t>På gårdsnivå kan digitala teknikapplikationer bidra till att åtgärda marknadsbrister och göra det lättare för jordbrukare att bli integrerade i värdekedjor genom att informations- och transaktionskostnaderna minskar. Förbättrad informations- och kommunikationsteknik har även understött utvecklingen av globala värdekedjor genom att jordbrukare på ett effektivt sätt kopplas till näringsidkare och konsumenter i olika regioner och länder. Under 2020 visade covid-19-pandemin att den digitala tekniken kan förbättra livsmedelsmarknadernas funktionssätt. I Folkrepubliken Kina uppskattas onlinemarknadens andel av de totala detaljhandelsköpen av livsmedel ha ökat från 11 till 38 procent i februari 2020.</w:t>
      </w:r>
    </w:p>
    <w:p w14:paraId="5E054205" w14:textId="23C94B2B" w:rsidR="00ED2A9C" w:rsidRPr="00A4754C" w:rsidRDefault="006E1E27" w:rsidP="0025253E">
      <w:pPr>
        <w:pStyle w:val="Brdtext"/>
        <w:spacing w:after="0"/>
      </w:pPr>
      <w:r w:rsidRPr="006E1E27">
        <w:rPr>
          <w:lang w:bidi="sv-SE"/>
        </w:rPr>
        <w:t>Trots den digitala teknikens snabba spridning under de tre senaste decennierna finns det en digital klyfta mellan länder, mellan städer och landsbygd samt mellan män och kvinnor. På den afrikanska landsbygden har i genomsnitt bara 10 procent av hushållen tillgång till internet. För att inkludera alla i den digitala ekonomin behövs effektiva offentlig-privata partnerskap, bra regelverk för att samla den privata sektorn samt politisk samstämmighet i syfte att förbättra den digitala infrastrukturen och kompetensen i utvecklingsländernas landsbygdsområden.</w:t>
      </w:r>
    </w:p>
    <w:p w14:paraId="7C558164" w14:textId="77777777" w:rsidR="00ED2A9C" w:rsidRPr="00A4754C" w:rsidRDefault="00ED2A9C" w:rsidP="00ED2A9C">
      <w:pPr>
        <w:pStyle w:val="Brdtext"/>
        <w:spacing w:after="0" w:line="360" w:lineRule="auto"/>
      </w:pPr>
    </w:p>
    <w:p w14:paraId="4D3F9D67" w14:textId="326E4907" w:rsidR="006E1E27" w:rsidRPr="00A4754C" w:rsidRDefault="006E1E27" w:rsidP="0025253E">
      <w:pPr>
        <w:pStyle w:val="Brdtext"/>
        <w:spacing w:after="0"/>
      </w:pPr>
      <w:r w:rsidRPr="006E1E27">
        <w:rPr>
          <w:lang w:bidi="sv-SE"/>
        </w:rPr>
        <w:t xml:space="preserve">Digitala applikationer – från textmeddelanden som skickas via mobiltelefon (sms) till e-handelsplattformar och teknik för distribuerade liggare – sänker transaktionskostnaderna, förbättrar informationsflödet och främjar en effektiv matchning mellan jordbrukare, näringsidkare och konsumenter. Detta leder till förbättrad marknadstillgång och bättre utfall i fråga om inkomster och välfärd. De initiativ till digitala plattformar som behandlas i denna </w:t>
      </w:r>
      <w:r w:rsidRPr="006E1E27">
        <w:rPr>
          <w:lang w:bidi="sv-SE"/>
        </w:rPr>
        <w:lastRenderedPageBreak/>
        <w:t>rapport, t.ex. e-Choupal i Indien, Esoko i Afrika och Taobao-byarna i Folkrepubliken Kina, visar hur digital teknik kan ge mer välfungerande marknader.</w:t>
      </w:r>
    </w:p>
    <w:p w14:paraId="4BF46217" w14:textId="77777777" w:rsidR="00ED2A9C" w:rsidRPr="00A4754C" w:rsidRDefault="00ED2A9C" w:rsidP="00ED2A9C">
      <w:pPr>
        <w:pStyle w:val="Brdtext"/>
        <w:spacing w:after="0" w:line="360" w:lineRule="auto"/>
      </w:pPr>
    </w:p>
    <w:p w14:paraId="67EC0133" w14:textId="0F4188ED" w:rsidR="006E1E27" w:rsidRPr="00A4754C" w:rsidRDefault="006E1E27" w:rsidP="0025253E">
      <w:pPr>
        <w:pStyle w:val="Brdtext"/>
        <w:spacing w:after="0"/>
      </w:pPr>
      <w:r w:rsidRPr="006E1E27">
        <w:rPr>
          <w:lang w:bidi="sv-SE"/>
        </w:rPr>
        <w:t>Tillgången till lån och försäkringar håller också på att revolutioneras. Digitala innovationer i fråga om jordobservation, satellitbaserade nederbördsberäkningar och fjärranalys i kombination med fältdata och blockkedjeteknik kan ge underlag till väderindexbaserade försäkringsprogram som kostar mindre. Detta kan göra det lättare att nå ut till miljontals småjordbrukare, varav många tidigare inte har ansetts vara möjliga att försäkra.</w:t>
      </w:r>
    </w:p>
    <w:p w14:paraId="602E9BFA" w14:textId="77777777" w:rsidR="00ED2A9C" w:rsidRPr="00A4754C" w:rsidRDefault="00ED2A9C" w:rsidP="00ED2A9C">
      <w:pPr>
        <w:pStyle w:val="Brdtext"/>
        <w:spacing w:after="0" w:line="360" w:lineRule="auto"/>
      </w:pPr>
    </w:p>
    <w:p w14:paraId="12199419" w14:textId="4E654190" w:rsidR="006E1E27" w:rsidRPr="00A4754C" w:rsidRDefault="006E1E27" w:rsidP="0025253E">
      <w:pPr>
        <w:pStyle w:val="Brdtext"/>
        <w:spacing w:after="0"/>
      </w:pPr>
      <w:r w:rsidRPr="006E1E27">
        <w:rPr>
          <w:lang w:bidi="sv-SE"/>
        </w:rPr>
        <w:t>De digitala innovationernas omvälvande effekter kan stödja en rad olika marknadsresultat. Digitala tekniktillämpningar för jordbruks- och livsmedelsmarknaderna kan generera betydande ekonomiska, sociala och miljömässiga fördelar och leda till att målen för hållbar utveckling uppnås snabbare. Digital teknik främjar t.ex. finansiell inkludering eftersom den gör att finansinstitut kan satsa på landsbygdsmarknaderna utan att behöva etablera sig där fysiskt, vilket är kostsamt. E-handelsplattformar ger utbildade ungdomar och kvinnor incitament att stanna kvar i eller återvända till landsbygdsområden. Detta kan göra att det blir mer attraktivt att bo och arbeta i landsbygdsområden. Blockkedjeteknik kan skapa förtroende och främja transparens och därigenom öka livsmedlens spårbarhet genom hela värdekedjan. Detta kan stödja att det införs hållbarhetsstandarder och hållbarhetsmärkning som informerar konsumenter om produktionens miljömässiga och sociala dimensioner.</w:t>
      </w:r>
    </w:p>
    <w:p w14:paraId="1D90FEA4" w14:textId="77777777" w:rsidR="00ED2A9C" w:rsidRPr="00A4754C" w:rsidRDefault="00ED2A9C" w:rsidP="00ED2A9C">
      <w:pPr>
        <w:pStyle w:val="Brdtext"/>
        <w:spacing w:after="0" w:line="240" w:lineRule="auto"/>
      </w:pPr>
    </w:p>
    <w:p w14:paraId="09320509" w14:textId="718A78E3" w:rsidR="00F13F85" w:rsidRPr="00A4754C" w:rsidRDefault="00F13F85" w:rsidP="0025253E">
      <w:pPr>
        <w:pStyle w:val="Brdtext"/>
        <w:spacing w:before="240" w:after="0"/>
      </w:pPr>
      <w:r w:rsidRPr="00F13F85">
        <w:rPr>
          <w:lang w:bidi="sv-SE"/>
        </w:rPr>
        <w:t>Samtidigt innebär digital teknik också risker och utmaningar. Frågor som rör t.ex. ägande och användning av data som har samlats in via digital teknik på jordbruk har t.ex. väckt stora farhågor. Om dessa frågor hanteras kan detta ytterligare främja att digital teknik införs. Tekniken påverkar även produktionsfaktorer och deras värde, t.ex. efterfrågan på arbetskraft och löner. Digital teknik kan även leda till avvikelser från marknadernas konkurrenskraftiga lösningar, så att det påverkar priser eller kvantiteter och därför även välfärden.</w:t>
      </w:r>
    </w:p>
    <w:p w14:paraId="684C7DF2" w14:textId="77777777" w:rsidR="00ED2A9C" w:rsidRPr="00A4754C" w:rsidRDefault="00ED2A9C" w:rsidP="00ED2A9C">
      <w:pPr>
        <w:pStyle w:val="Brdtext"/>
        <w:spacing w:before="240" w:after="0" w:line="360" w:lineRule="auto"/>
      </w:pPr>
    </w:p>
    <w:p w14:paraId="51E72FD4" w14:textId="22228D0E" w:rsidR="008D52EE" w:rsidRPr="00A4754C" w:rsidRDefault="00F13F85" w:rsidP="0025253E">
      <w:pPr>
        <w:pStyle w:val="Brdtext"/>
      </w:pPr>
      <w:r w:rsidRPr="00F13F85">
        <w:rPr>
          <w:lang w:bidi="sv-SE"/>
        </w:rPr>
        <w:t>Möjligheten att teknik påverkar jordbruks- och livsmedelsmarknader behöver analyseras ytterligare. De frågor som har behandlats här ovan pekar på att det behövs bättre samverkan mellan samtliga aktörer. De förutsätter även att det råder samförstånd om vad som är bästa praxis, så att detta kan ligga till grund för ett regelverk som maximerar den digitala teknikens fördelar för livsmedel och jordbruk och minimerar de åtföljande riskerna.</w:t>
      </w:r>
    </w:p>
    <w:sectPr w:rsidR="008D52EE" w:rsidRPr="00A4754C" w:rsidSect="0093335A">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DBAEB" w14:textId="77777777" w:rsidR="00D90F3A" w:rsidRDefault="00D90F3A" w:rsidP="00A87A54">
      <w:pPr>
        <w:spacing w:after="0" w:line="240" w:lineRule="auto"/>
      </w:pPr>
      <w:r>
        <w:separator/>
      </w:r>
    </w:p>
  </w:endnote>
  <w:endnote w:type="continuationSeparator" w:id="0">
    <w:p w14:paraId="232617E7" w14:textId="77777777" w:rsidR="00D90F3A" w:rsidRDefault="00D90F3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AFC51" w14:textId="77777777" w:rsidR="00673A5A" w:rsidRDefault="00673A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AFD58" w14:textId="77777777" w:rsidR="00673A5A" w:rsidRDefault="00673A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1A217" w14:textId="77777777" w:rsidR="00673A5A" w:rsidRDefault="00673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03D71" w14:textId="77777777" w:rsidR="00D90F3A" w:rsidRDefault="00D90F3A" w:rsidP="00A87A54">
      <w:pPr>
        <w:spacing w:after="0" w:line="240" w:lineRule="auto"/>
      </w:pPr>
      <w:r>
        <w:separator/>
      </w:r>
    </w:p>
  </w:footnote>
  <w:footnote w:type="continuationSeparator" w:id="0">
    <w:p w14:paraId="6075F12F" w14:textId="77777777" w:rsidR="00D90F3A" w:rsidRDefault="00D90F3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E477" w14:textId="77777777" w:rsidR="00673A5A" w:rsidRDefault="00673A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613402"/>
      <w:docPartObj>
        <w:docPartGallery w:val="Page Numbers (Top of Page)"/>
        <w:docPartUnique/>
      </w:docPartObj>
    </w:sdtPr>
    <w:sdtEndPr/>
    <w:sdtContent>
      <w:p w14:paraId="3CB6543A" w14:textId="77777777" w:rsidR="00D56A7A" w:rsidRDefault="00D56A7A">
        <w:pPr>
          <w:pStyle w:val="Sidhuvud"/>
          <w:jc w:val="right"/>
        </w:pPr>
        <w:r>
          <w:rPr>
            <w:lang w:bidi="sv-SE"/>
          </w:rPr>
          <w:fldChar w:fldCharType="begin"/>
        </w:r>
        <w:r>
          <w:rPr>
            <w:lang w:bidi="sv-SE"/>
          </w:rPr>
          <w:instrText>PAGE   \* MERGEFORMAT</w:instrText>
        </w:r>
        <w:r>
          <w:rPr>
            <w:lang w:bidi="sv-SE"/>
          </w:rPr>
          <w:fldChar w:fldCharType="separate"/>
        </w:r>
        <w:r w:rsidR="00255C2A">
          <w:rPr>
            <w:noProof/>
            <w:lang w:bidi="sv-SE"/>
          </w:rPr>
          <w:t>12</w:t>
        </w:r>
        <w:r>
          <w:rPr>
            <w:lang w:bidi="sv-SE"/>
          </w:rPr>
          <w:fldChar w:fldCharType="end"/>
        </w:r>
      </w:p>
    </w:sdtContent>
  </w:sdt>
  <w:p w14:paraId="39CA161A" w14:textId="77777777" w:rsidR="00673A5A" w:rsidRDefault="00673A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8855"/>
      <w:docPartObj>
        <w:docPartGallery w:val="Page Numbers (Top of Page)"/>
        <w:docPartUnique/>
      </w:docPartObj>
    </w:sdtPr>
    <w:sdtEndPr/>
    <w:sdtContent>
      <w:p w14:paraId="0F80DBD5" w14:textId="77777777" w:rsidR="00D56A7A" w:rsidRDefault="00D56A7A">
        <w:pPr>
          <w:pStyle w:val="Sidhuvud"/>
          <w:jc w:val="right"/>
        </w:pPr>
        <w:r>
          <w:rPr>
            <w:lang w:bidi="sv-SE"/>
          </w:rPr>
          <w:fldChar w:fldCharType="begin"/>
        </w:r>
        <w:r>
          <w:rPr>
            <w:lang w:bidi="sv-SE"/>
          </w:rPr>
          <w:instrText>PAGE   \* MERGEFORMAT</w:instrText>
        </w:r>
        <w:r>
          <w:rPr>
            <w:lang w:bidi="sv-SE"/>
          </w:rPr>
          <w:fldChar w:fldCharType="separate"/>
        </w:r>
        <w:r w:rsidR="00255C2A">
          <w:rPr>
            <w:noProof/>
            <w:lang w:bidi="sv-SE"/>
          </w:rPr>
          <w:t>1</w:t>
        </w:r>
        <w:r>
          <w:rPr>
            <w:lang w:bidi="sv-SE"/>
          </w:rPr>
          <w:fldChar w:fldCharType="end"/>
        </w:r>
      </w:p>
    </w:sdtContent>
  </w:sdt>
  <w:p w14:paraId="5D7E2623" w14:textId="77777777" w:rsidR="00673A5A" w:rsidRDefault="00673A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6B1218"/>
    <w:multiLevelType w:val="multilevel"/>
    <w:tmpl w:val="7E340E54"/>
    <w:lvl w:ilvl="0">
      <w:start w:val="2"/>
      <w:numFmt w:val="decimal"/>
      <w:lvlText w:val="%1"/>
      <w:lvlJc w:val="left"/>
      <w:pPr>
        <w:ind w:left="445" w:hanging="300"/>
      </w:pPr>
      <w:rPr>
        <w:rFonts w:hint="default"/>
        <w:lang w:val="en-GB" w:eastAsia="en-GB" w:bidi="en-GB"/>
      </w:rPr>
    </w:lvl>
    <w:lvl w:ilvl="1">
      <w:start w:val="9"/>
      <w:numFmt w:val="decimal"/>
      <w:lvlText w:val="%1.%2"/>
      <w:lvlJc w:val="left"/>
      <w:pPr>
        <w:ind w:left="445" w:hanging="300"/>
      </w:pPr>
      <w:rPr>
        <w:rFonts w:ascii="Century" w:eastAsia="Century" w:hAnsi="Century" w:cs="Century" w:hint="default"/>
        <w:spacing w:val="-7"/>
        <w:w w:val="106"/>
        <w:sz w:val="17"/>
        <w:szCs w:val="17"/>
        <w:lang w:val="en-GB" w:eastAsia="en-GB" w:bidi="en-GB"/>
      </w:rPr>
    </w:lvl>
    <w:lvl w:ilvl="2">
      <w:start w:val="1"/>
      <w:numFmt w:val="upperLetter"/>
      <w:lvlText w:val="(%3)"/>
      <w:lvlJc w:val="left"/>
      <w:pPr>
        <w:ind w:left="2289" w:hanging="198"/>
        <w:jc w:val="right"/>
      </w:pPr>
      <w:rPr>
        <w:rFonts w:ascii="Century Gothic" w:eastAsia="Century Gothic" w:hAnsi="Century Gothic" w:cs="Century Gothic" w:hint="default"/>
        <w:b/>
        <w:bCs/>
        <w:w w:val="77"/>
        <w:sz w:val="14"/>
        <w:szCs w:val="14"/>
        <w:lang w:val="en-GB" w:eastAsia="en-GB" w:bidi="en-GB"/>
      </w:rPr>
    </w:lvl>
    <w:lvl w:ilvl="3">
      <w:numFmt w:val="bullet"/>
      <w:lvlText w:val="•"/>
      <w:lvlJc w:val="left"/>
      <w:pPr>
        <w:ind w:left="1515" w:hanging="198"/>
      </w:pPr>
      <w:rPr>
        <w:rFonts w:hint="default"/>
        <w:lang w:val="en-GB" w:eastAsia="en-GB" w:bidi="en-GB"/>
      </w:rPr>
    </w:lvl>
    <w:lvl w:ilvl="4">
      <w:numFmt w:val="bullet"/>
      <w:lvlText w:val="•"/>
      <w:lvlJc w:val="left"/>
      <w:pPr>
        <w:ind w:left="1133" w:hanging="198"/>
      </w:pPr>
      <w:rPr>
        <w:rFonts w:hint="default"/>
        <w:lang w:val="en-GB" w:eastAsia="en-GB" w:bidi="en-GB"/>
      </w:rPr>
    </w:lvl>
    <w:lvl w:ilvl="5">
      <w:numFmt w:val="bullet"/>
      <w:lvlText w:val="•"/>
      <w:lvlJc w:val="left"/>
      <w:pPr>
        <w:ind w:left="751" w:hanging="198"/>
      </w:pPr>
      <w:rPr>
        <w:rFonts w:hint="default"/>
        <w:lang w:val="en-GB" w:eastAsia="en-GB" w:bidi="en-GB"/>
      </w:rPr>
    </w:lvl>
    <w:lvl w:ilvl="6">
      <w:numFmt w:val="bullet"/>
      <w:lvlText w:val="•"/>
      <w:lvlJc w:val="left"/>
      <w:pPr>
        <w:ind w:left="369" w:hanging="198"/>
      </w:pPr>
      <w:rPr>
        <w:rFonts w:hint="default"/>
        <w:lang w:val="en-GB" w:eastAsia="en-GB" w:bidi="en-GB"/>
      </w:rPr>
    </w:lvl>
    <w:lvl w:ilvl="7">
      <w:numFmt w:val="bullet"/>
      <w:lvlText w:val="•"/>
      <w:lvlJc w:val="left"/>
      <w:pPr>
        <w:ind w:left="-13" w:hanging="198"/>
      </w:pPr>
      <w:rPr>
        <w:rFonts w:hint="default"/>
        <w:lang w:val="en-GB" w:eastAsia="en-GB" w:bidi="en-GB"/>
      </w:rPr>
    </w:lvl>
    <w:lvl w:ilvl="8">
      <w:numFmt w:val="bullet"/>
      <w:lvlText w:val="•"/>
      <w:lvlJc w:val="left"/>
      <w:pPr>
        <w:ind w:left="-396" w:hanging="198"/>
      </w:pPr>
      <w:rPr>
        <w:rFonts w:hint="default"/>
        <w:lang w:val="en-GB" w:eastAsia="en-GB" w:bidi="en-GB"/>
      </w:rPr>
    </w:lvl>
  </w:abstractNum>
  <w:abstractNum w:abstractNumId="10"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E72852"/>
    <w:multiLevelType w:val="hybridMultilevel"/>
    <w:tmpl w:val="3392CDAC"/>
    <w:lvl w:ilvl="0" w:tplc="E800C7A0">
      <w:start w:val="1"/>
      <w:numFmt w:val="decimal"/>
      <w:lvlText w:val="%1."/>
      <w:lvlJc w:val="left"/>
      <w:pPr>
        <w:ind w:left="814" w:hanging="360"/>
      </w:pPr>
      <w:rPr>
        <w:rFonts w:ascii="Century" w:eastAsia="Century" w:hAnsi="Century" w:cs="Century" w:hint="default"/>
        <w:spacing w:val="-8"/>
        <w:w w:val="106"/>
        <w:sz w:val="17"/>
        <w:szCs w:val="17"/>
        <w:lang w:val="en-GB" w:eastAsia="en-GB" w:bidi="en-GB"/>
      </w:rPr>
    </w:lvl>
    <w:lvl w:ilvl="1" w:tplc="020CFEB6">
      <w:numFmt w:val="bullet"/>
      <w:lvlText w:val="•"/>
      <w:lvlJc w:val="left"/>
      <w:pPr>
        <w:ind w:left="1217" w:hanging="360"/>
      </w:pPr>
      <w:rPr>
        <w:rFonts w:hint="default"/>
        <w:lang w:val="en-GB" w:eastAsia="en-GB" w:bidi="en-GB"/>
      </w:rPr>
    </w:lvl>
    <w:lvl w:ilvl="2" w:tplc="183E546E">
      <w:numFmt w:val="bullet"/>
      <w:lvlText w:val="•"/>
      <w:lvlJc w:val="left"/>
      <w:pPr>
        <w:ind w:left="1614" w:hanging="360"/>
      </w:pPr>
      <w:rPr>
        <w:rFonts w:hint="default"/>
        <w:lang w:val="en-GB" w:eastAsia="en-GB" w:bidi="en-GB"/>
      </w:rPr>
    </w:lvl>
    <w:lvl w:ilvl="3" w:tplc="50C87408">
      <w:numFmt w:val="bullet"/>
      <w:lvlText w:val="•"/>
      <w:lvlJc w:val="left"/>
      <w:pPr>
        <w:ind w:left="2011" w:hanging="360"/>
      </w:pPr>
      <w:rPr>
        <w:rFonts w:hint="default"/>
        <w:lang w:val="en-GB" w:eastAsia="en-GB" w:bidi="en-GB"/>
      </w:rPr>
    </w:lvl>
    <w:lvl w:ilvl="4" w:tplc="BDC0013C">
      <w:numFmt w:val="bullet"/>
      <w:lvlText w:val="•"/>
      <w:lvlJc w:val="left"/>
      <w:pPr>
        <w:ind w:left="2408" w:hanging="360"/>
      </w:pPr>
      <w:rPr>
        <w:rFonts w:hint="default"/>
        <w:lang w:val="en-GB" w:eastAsia="en-GB" w:bidi="en-GB"/>
      </w:rPr>
    </w:lvl>
    <w:lvl w:ilvl="5" w:tplc="D7D805AA">
      <w:numFmt w:val="bullet"/>
      <w:lvlText w:val="•"/>
      <w:lvlJc w:val="left"/>
      <w:pPr>
        <w:ind w:left="2805" w:hanging="360"/>
      </w:pPr>
      <w:rPr>
        <w:rFonts w:hint="default"/>
        <w:lang w:val="en-GB" w:eastAsia="en-GB" w:bidi="en-GB"/>
      </w:rPr>
    </w:lvl>
    <w:lvl w:ilvl="6" w:tplc="AA1A2B30">
      <w:numFmt w:val="bullet"/>
      <w:lvlText w:val="•"/>
      <w:lvlJc w:val="left"/>
      <w:pPr>
        <w:ind w:left="3203" w:hanging="360"/>
      </w:pPr>
      <w:rPr>
        <w:rFonts w:hint="default"/>
        <w:lang w:val="en-GB" w:eastAsia="en-GB" w:bidi="en-GB"/>
      </w:rPr>
    </w:lvl>
    <w:lvl w:ilvl="7" w:tplc="2064102A">
      <w:numFmt w:val="bullet"/>
      <w:lvlText w:val="•"/>
      <w:lvlJc w:val="left"/>
      <w:pPr>
        <w:ind w:left="3600" w:hanging="360"/>
      </w:pPr>
      <w:rPr>
        <w:rFonts w:hint="default"/>
        <w:lang w:val="en-GB" w:eastAsia="en-GB" w:bidi="en-GB"/>
      </w:rPr>
    </w:lvl>
    <w:lvl w:ilvl="8" w:tplc="66E2609E">
      <w:numFmt w:val="bullet"/>
      <w:lvlText w:val="•"/>
      <w:lvlJc w:val="left"/>
      <w:pPr>
        <w:ind w:left="3997" w:hanging="360"/>
      </w:pPr>
      <w:rPr>
        <w:rFonts w:hint="default"/>
        <w:lang w:val="en-GB" w:eastAsia="en-GB" w:bidi="en-GB"/>
      </w:rPr>
    </w:lvl>
  </w:abstractNum>
  <w:abstractNum w:abstractNumId="12" w15:restartNumberingAfterBreak="0">
    <w:nsid w:val="151B5490"/>
    <w:multiLevelType w:val="multilevel"/>
    <w:tmpl w:val="1B563932"/>
    <w:numStyleLink w:val="RKNumreradlista"/>
  </w:abstractNum>
  <w:abstractNum w:abstractNumId="13" w15:restartNumberingAfterBreak="0">
    <w:nsid w:val="1E583D0E"/>
    <w:multiLevelType w:val="hybridMultilevel"/>
    <w:tmpl w:val="1BCEF486"/>
    <w:lvl w:ilvl="0" w:tplc="2C16A122">
      <w:start w:val="2020"/>
      <w:numFmt w:val="bullet"/>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1F88532F"/>
    <w:multiLevelType w:val="multilevel"/>
    <w:tmpl w:val="1B563932"/>
    <w:numStyleLink w:val="RKNumreradlista"/>
  </w:abstractNum>
  <w:abstractNum w:abstractNumId="15" w15:restartNumberingAfterBreak="0">
    <w:nsid w:val="2AB05199"/>
    <w:multiLevelType w:val="multilevel"/>
    <w:tmpl w:val="186C6512"/>
    <w:numStyleLink w:val="Strecklistan"/>
  </w:abstractNum>
  <w:abstractNum w:abstractNumId="16" w15:restartNumberingAfterBreak="0">
    <w:nsid w:val="2BE361F1"/>
    <w:multiLevelType w:val="multilevel"/>
    <w:tmpl w:val="1B563932"/>
    <w:numStyleLink w:val="RKNumreradlista"/>
  </w:abstractNum>
  <w:abstractNum w:abstractNumId="17" w15:restartNumberingAfterBreak="0">
    <w:nsid w:val="2C9B0453"/>
    <w:multiLevelType w:val="multilevel"/>
    <w:tmpl w:val="1A20A4CA"/>
    <w:numStyleLink w:val="RKPunktlista"/>
  </w:abstractNum>
  <w:abstractNum w:abstractNumId="18" w15:restartNumberingAfterBreak="0">
    <w:nsid w:val="2ECF6BA1"/>
    <w:multiLevelType w:val="multilevel"/>
    <w:tmpl w:val="1B563932"/>
    <w:numStyleLink w:val="RKNumreradlista"/>
  </w:abstractNum>
  <w:abstractNum w:abstractNumId="19" w15:restartNumberingAfterBreak="0">
    <w:nsid w:val="2F604539"/>
    <w:multiLevelType w:val="multilevel"/>
    <w:tmpl w:val="1B563932"/>
    <w:numStyleLink w:val="RKNumreradlista"/>
  </w:abstractNum>
  <w:abstractNum w:abstractNumId="20" w15:restartNumberingAfterBreak="0">
    <w:nsid w:val="348522EF"/>
    <w:multiLevelType w:val="multilevel"/>
    <w:tmpl w:val="1B563932"/>
    <w:numStyleLink w:val="RKNumreradlista"/>
  </w:abstractNum>
  <w:abstractNum w:abstractNumId="21"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624D23"/>
    <w:multiLevelType w:val="hybridMultilevel"/>
    <w:tmpl w:val="06EE34E6"/>
    <w:lvl w:ilvl="0" w:tplc="86E47DAE">
      <w:start w:val="2020"/>
      <w:numFmt w:val="bullet"/>
      <w:lvlText w:val="-"/>
      <w:lvlJc w:val="left"/>
      <w:pPr>
        <w:ind w:left="360" w:hanging="360"/>
      </w:pPr>
      <w:rPr>
        <w:rFonts w:ascii="Arial" w:eastAsiaTheme="majorEastAsia" w:hAnsi="Arial" w:cs="Arial" w:hint="default"/>
        <w: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73460BA"/>
    <w:multiLevelType w:val="hybridMultilevel"/>
    <w:tmpl w:val="197AC0A4"/>
    <w:lvl w:ilvl="0" w:tplc="8FB6A7CE">
      <w:start w:val="2020"/>
      <w:numFmt w:val="bullet"/>
      <w:lvlText w:val="-"/>
      <w:lvlJc w:val="left"/>
      <w:pPr>
        <w:ind w:left="360" w:hanging="360"/>
      </w:pPr>
      <w:rPr>
        <w:rFonts w:ascii="Arial" w:eastAsiaTheme="majorEastAsia"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4F542008"/>
    <w:multiLevelType w:val="hybridMultilevel"/>
    <w:tmpl w:val="5516A55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F9262DA"/>
    <w:multiLevelType w:val="multilevel"/>
    <w:tmpl w:val="5516A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4"/>
  </w:num>
  <w:num w:numId="2">
    <w:abstractNumId w:val="33"/>
  </w:num>
  <w:num w:numId="3">
    <w:abstractNumId w:val="4"/>
  </w:num>
  <w:num w:numId="4">
    <w:abstractNumId w:val="1"/>
  </w:num>
  <w:num w:numId="5">
    <w:abstractNumId w:val="5"/>
  </w:num>
  <w:num w:numId="6">
    <w:abstractNumId w:val="3"/>
  </w:num>
  <w:num w:numId="7">
    <w:abstractNumId w:val="21"/>
  </w:num>
  <w:num w:numId="8">
    <w:abstractNumId w:val="19"/>
  </w:num>
  <w:num w:numId="9">
    <w:abstractNumId w:val="8"/>
  </w:num>
  <w:num w:numId="10">
    <w:abstractNumId w:val="16"/>
  </w:num>
  <w:num w:numId="11">
    <w:abstractNumId w:val="20"/>
  </w:num>
  <w:num w:numId="12">
    <w:abstractNumId w:val="38"/>
  </w:num>
  <w:num w:numId="13">
    <w:abstractNumId w:val="31"/>
  </w:num>
  <w:num w:numId="14">
    <w:abstractNumId w:val="10"/>
  </w:num>
  <w:num w:numId="15">
    <w:abstractNumId w:val="7"/>
  </w:num>
  <w:num w:numId="16">
    <w:abstractNumId w:val="35"/>
  </w:num>
  <w:num w:numId="17">
    <w:abstractNumId w:val="32"/>
  </w:num>
  <w:num w:numId="18">
    <w:abstractNumId w:val="6"/>
  </w:num>
  <w:num w:numId="19">
    <w:abstractNumId w:val="0"/>
  </w:num>
  <w:num w:numId="20">
    <w:abstractNumId w:val="2"/>
  </w:num>
  <w:num w:numId="21">
    <w:abstractNumId w:val="18"/>
  </w:num>
  <w:num w:numId="22">
    <w:abstractNumId w:val="12"/>
  </w:num>
  <w:num w:numId="23">
    <w:abstractNumId w:val="27"/>
  </w:num>
  <w:num w:numId="24">
    <w:abstractNumId w:val="28"/>
  </w:num>
  <w:num w:numId="25">
    <w:abstractNumId w:val="39"/>
  </w:num>
  <w:num w:numId="26">
    <w:abstractNumId w:val="23"/>
  </w:num>
  <w:num w:numId="27">
    <w:abstractNumId w:val="36"/>
  </w:num>
  <w:num w:numId="28">
    <w:abstractNumId w:val="17"/>
  </w:num>
  <w:num w:numId="29">
    <w:abstractNumId w:val="15"/>
  </w:num>
  <w:num w:numId="30">
    <w:abstractNumId w:val="37"/>
  </w:num>
  <w:num w:numId="31">
    <w:abstractNumId w:val="14"/>
  </w:num>
  <w:num w:numId="32">
    <w:abstractNumId w:val="29"/>
  </w:num>
  <w:num w:numId="33">
    <w:abstractNumId w:val="34"/>
  </w:num>
  <w:num w:numId="34">
    <w:abstractNumId w:val="40"/>
  </w:num>
  <w:num w:numId="35">
    <w:abstractNumId w:val="25"/>
  </w:num>
  <w:num w:numId="36">
    <w:abstractNumId w:val="9"/>
  </w:num>
  <w:num w:numId="37">
    <w:abstractNumId w:val="11"/>
  </w:num>
  <w:num w:numId="38">
    <w:abstractNumId w:val="30"/>
  </w:num>
  <w:num w:numId="39">
    <w:abstractNumId w:val="41"/>
  </w:num>
  <w:num w:numId="40">
    <w:abstractNumId w:val="13"/>
  </w:num>
  <w:num w:numId="41">
    <w:abstractNumId w:val="2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F3A"/>
    <w:rsid w:val="0000182C"/>
    <w:rsid w:val="00003954"/>
    <w:rsid w:val="00004D5C"/>
    <w:rsid w:val="00005F68"/>
    <w:rsid w:val="00012B00"/>
    <w:rsid w:val="00017386"/>
    <w:rsid w:val="00026711"/>
    <w:rsid w:val="00033803"/>
    <w:rsid w:val="00041EDC"/>
    <w:rsid w:val="00057C17"/>
    <w:rsid w:val="00057FE0"/>
    <w:rsid w:val="000757FC"/>
    <w:rsid w:val="000862E0"/>
    <w:rsid w:val="00093408"/>
    <w:rsid w:val="0009435C"/>
    <w:rsid w:val="000C61D1"/>
    <w:rsid w:val="000E12D9"/>
    <w:rsid w:val="000F00B8"/>
    <w:rsid w:val="00111809"/>
    <w:rsid w:val="00121002"/>
    <w:rsid w:val="00170CE4"/>
    <w:rsid w:val="00173126"/>
    <w:rsid w:val="00192E34"/>
    <w:rsid w:val="001A5B02"/>
    <w:rsid w:val="001C459D"/>
    <w:rsid w:val="001C5DC9"/>
    <w:rsid w:val="001C71A9"/>
    <w:rsid w:val="001F0629"/>
    <w:rsid w:val="001F0736"/>
    <w:rsid w:val="001F4302"/>
    <w:rsid w:val="001F625D"/>
    <w:rsid w:val="00204079"/>
    <w:rsid w:val="00211B4E"/>
    <w:rsid w:val="00213258"/>
    <w:rsid w:val="00222258"/>
    <w:rsid w:val="00223AD6"/>
    <w:rsid w:val="00233D52"/>
    <w:rsid w:val="002343A3"/>
    <w:rsid w:val="0025253E"/>
    <w:rsid w:val="00255C2A"/>
    <w:rsid w:val="00260D2D"/>
    <w:rsid w:val="00261B33"/>
    <w:rsid w:val="002666B0"/>
    <w:rsid w:val="00281106"/>
    <w:rsid w:val="00282D27"/>
    <w:rsid w:val="00292420"/>
    <w:rsid w:val="002E4D3F"/>
    <w:rsid w:val="002F66A6"/>
    <w:rsid w:val="003050DB"/>
    <w:rsid w:val="00307E0B"/>
    <w:rsid w:val="00310561"/>
    <w:rsid w:val="003128E2"/>
    <w:rsid w:val="00314336"/>
    <w:rsid w:val="00326C03"/>
    <w:rsid w:val="00336FE4"/>
    <w:rsid w:val="00340DE0"/>
    <w:rsid w:val="00342327"/>
    <w:rsid w:val="00347E11"/>
    <w:rsid w:val="00350635"/>
    <w:rsid w:val="00350C92"/>
    <w:rsid w:val="0035191D"/>
    <w:rsid w:val="00364D48"/>
    <w:rsid w:val="00370311"/>
    <w:rsid w:val="0038587E"/>
    <w:rsid w:val="00392ED4"/>
    <w:rsid w:val="003A018B"/>
    <w:rsid w:val="003A5969"/>
    <w:rsid w:val="003A5C58"/>
    <w:rsid w:val="003A61D0"/>
    <w:rsid w:val="003C4BFD"/>
    <w:rsid w:val="003C7BE0"/>
    <w:rsid w:val="003D0DD3"/>
    <w:rsid w:val="003D17EF"/>
    <w:rsid w:val="003D3535"/>
    <w:rsid w:val="003E5C73"/>
    <w:rsid w:val="003E6020"/>
    <w:rsid w:val="003F2E14"/>
    <w:rsid w:val="0041223B"/>
    <w:rsid w:val="00414C8A"/>
    <w:rsid w:val="0042068E"/>
    <w:rsid w:val="00457192"/>
    <w:rsid w:val="004660C8"/>
    <w:rsid w:val="00472EBA"/>
    <w:rsid w:val="00474676"/>
    <w:rsid w:val="0047511B"/>
    <w:rsid w:val="00477688"/>
    <w:rsid w:val="00477FB6"/>
    <w:rsid w:val="00480EC3"/>
    <w:rsid w:val="0048317E"/>
    <w:rsid w:val="00485601"/>
    <w:rsid w:val="004865B8"/>
    <w:rsid w:val="00486C0D"/>
    <w:rsid w:val="00491796"/>
    <w:rsid w:val="004B66DA"/>
    <w:rsid w:val="004C70EE"/>
    <w:rsid w:val="004E25CD"/>
    <w:rsid w:val="004F0448"/>
    <w:rsid w:val="004F6525"/>
    <w:rsid w:val="00511DE7"/>
    <w:rsid w:val="0052127C"/>
    <w:rsid w:val="0052698E"/>
    <w:rsid w:val="00533841"/>
    <w:rsid w:val="00544738"/>
    <w:rsid w:val="005456E4"/>
    <w:rsid w:val="00547B89"/>
    <w:rsid w:val="00556474"/>
    <w:rsid w:val="005606BC"/>
    <w:rsid w:val="00565A5D"/>
    <w:rsid w:val="00567799"/>
    <w:rsid w:val="00571A0B"/>
    <w:rsid w:val="00581E47"/>
    <w:rsid w:val="005850D7"/>
    <w:rsid w:val="00596E2B"/>
    <w:rsid w:val="005A5193"/>
    <w:rsid w:val="005B1EFC"/>
    <w:rsid w:val="005E2F29"/>
    <w:rsid w:val="005E4E79"/>
    <w:rsid w:val="00603DB2"/>
    <w:rsid w:val="00613D62"/>
    <w:rsid w:val="006175D7"/>
    <w:rsid w:val="006208E5"/>
    <w:rsid w:val="00631F82"/>
    <w:rsid w:val="00654B4D"/>
    <w:rsid w:val="00670A48"/>
    <w:rsid w:val="00672F6F"/>
    <w:rsid w:val="00673A5A"/>
    <w:rsid w:val="0067552A"/>
    <w:rsid w:val="0069523C"/>
    <w:rsid w:val="006B4A30"/>
    <w:rsid w:val="006B7569"/>
    <w:rsid w:val="006C3B8E"/>
    <w:rsid w:val="006C5ADB"/>
    <w:rsid w:val="006D3188"/>
    <w:rsid w:val="006D59F9"/>
    <w:rsid w:val="006E08FC"/>
    <w:rsid w:val="006E1E27"/>
    <w:rsid w:val="006E7255"/>
    <w:rsid w:val="006F2588"/>
    <w:rsid w:val="00710A6C"/>
    <w:rsid w:val="00712266"/>
    <w:rsid w:val="00732C27"/>
    <w:rsid w:val="00742920"/>
    <w:rsid w:val="00750C93"/>
    <w:rsid w:val="00757B3B"/>
    <w:rsid w:val="00762BB8"/>
    <w:rsid w:val="00773075"/>
    <w:rsid w:val="00782B3F"/>
    <w:rsid w:val="0079641B"/>
    <w:rsid w:val="007A629C"/>
    <w:rsid w:val="007A7DF2"/>
    <w:rsid w:val="007C44FF"/>
    <w:rsid w:val="007C7BDB"/>
    <w:rsid w:val="007D73AB"/>
    <w:rsid w:val="007F516C"/>
    <w:rsid w:val="00804C1B"/>
    <w:rsid w:val="00816677"/>
    <w:rsid w:val="008178E6"/>
    <w:rsid w:val="008375D5"/>
    <w:rsid w:val="00875DDD"/>
    <w:rsid w:val="00891929"/>
    <w:rsid w:val="008A0A0D"/>
    <w:rsid w:val="008B365C"/>
    <w:rsid w:val="008C562B"/>
    <w:rsid w:val="008D3090"/>
    <w:rsid w:val="008D4306"/>
    <w:rsid w:val="008D4508"/>
    <w:rsid w:val="008D52EE"/>
    <w:rsid w:val="008E77D6"/>
    <w:rsid w:val="00923978"/>
    <w:rsid w:val="0093335A"/>
    <w:rsid w:val="0094502D"/>
    <w:rsid w:val="00947013"/>
    <w:rsid w:val="00957413"/>
    <w:rsid w:val="00961376"/>
    <w:rsid w:val="0096138C"/>
    <w:rsid w:val="00986CC3"/>
    <w:rsid w:val="009920AA"/>
    <w:rsid w:val="009A4D0A"/>
    <w:rsid w:val="009C2459"/>
    <w:rsid w:val="009D5D40"/>
    <w:rsid w:val="009D6B1B"/>
    <w:rsid w:val="009E107B"/>
    <w:rsid w:val="009E18D6"/>
    <w:rsid w:val="009F5060"/>
    <w:rsid w:val="00A01F5C"/>
    <w:rsid w:val="00A061BD"/>
    <w:rsid w:val="00A3270B"/>
    <w:rsid w:val="00A43B02"/>
    <w:rsid w:val="00A4754C"/>
    <w:rsid w:val="00A5156E"/>
    <w:rsid w:val="00A56824"/>
    <w:rsid w:val="00A65C80"/>
    <w:rsid w:val="00A67276"/>
    <w:rsid w:val="00A67840"/>
    <w:rsid w:val="00A743AC"/>
    <w:rsid w:val="00A87A54"/>
    <w:rsid w:val="00AA0635"/>
    <w:rsid w:val="00AA1809"/>
    <w:rsid w:val="00AB6313"/>
    <w:rsid w:val="00AF0BB7"/>
    <w:rsid w:val="00AF0EDE"/>
    <w:rsid w:val="00B06751"/>
    <w:rsid w:val="00B20BA1"/>
    <w:rsid w:val="00B2169D"/>
    <w:rsid w:val="00B21CBB"/>
    <w:rsid w:val="00B316CA"/>
    <w:rsid w:val="00B4140C"/>
    <w:rsid w:val="00B41F72"/>
    <w:rsid w:val="00B517E1"/>
    <w:rsid w:val="00B55E70"/>
    <w:rsid w:val="00B639D8"/>
    <w:rsid w:val="00B66696"/>
    <w:rsid w:val="00B66E0F"/>
    <w:rsid w:val="00B84409"/>
    <w:rsid w:val="00BB5683"/>
    <w:rsid w:val="00BD0826"/>
    <w:rsid w:val="00BE3210"/>
    <w:rsid w:val="00C141C6"/>
    <w:rsid w:val="00C2071A"/>
    <w:rsid w:val="00C20ACB"/>
    <w:rsid w:val="00C26068"/>
    <w:rsid w:val="00C271A8"/>
    <w:rsid w:val="00C37A77"/>
    <w:rsid w:val="00C4042C"/>
    <w:rsid w:val="00C461E6"/>
    <w:rsid w:val="00C55DD1"/>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37AFB"/>
    <w:rsid w:val="00D4141B"/>
    <w:rsid w:val="00D4145D"/>
    <w:rsid w:val="00D45543"/>
    <w:rsid w:val="00D5467F"/>
    <w:rsid w:val="00D56A7A"/>
    <w:rsid w:val="00D6730A"/>
    <w:rsid w:val="00D72D28"/>
    <w:rsid w:val="00D76068"/>
    <w:rsid w:val="00D76B01"/>
    <w:rsid w:val="00D839F7"/>
    <w:rsid w:val="00D84704"/>
    <w:rsid w:val="00D90F3A"/>
    <w:rsid w:val="00D95424"/>
    <w:rsid w:val="00DB55D4"/>
    <w:rsid w:val="00DB714B"/>
    <w:rsid w:val="00DF1FFF"/>
    <w:rsid w:val="00DF5BFB"/>
    <w:rsid w:val="00E469E4"/>
    <w:rsid w:val="00E475C3"/>
    <w:rsid w:val="00E509B0"/>
    <w:rsid w:val="00E63199"/>
    <w:rsid w:val="00E73666"/>
    <w:rsid w:val="00E73CEA"/>
    <w:rsid w:val="00E7634A"/>
    <w:rsid w:val="00E82BA3"/>
    <w:rsid w:val="00E871AC"/>
    <w:rsid w:val="00EA1688"/>
    <w:rsid w:val="00ED2A9C"/>
    <w:rsid w:val="00ED592E"/>
    <w:rsid w:val="00ED6ABD"/>
    <w:rsid w:val="00EE1773"/>
    <w:rsid w:val="00EE1E35"/>
    <w:rsid w:val="00EE3C0F"/>
    <w:rsid w:val="00EF2A7F"/>
    <w:rsid w:val="00F03EAC"/>
    <w:rsid w:val="00F13F85"/>
    <w:rsid w:val="00F14024"/>
    <w:rsid w:val="00F1485A"/>
    <w:rsid w:val="00F259D7"/>
    <w:rsid w:val="00F32D05"/>
    <w:rsid w:val="00F35263"/>
    <w:rsid w:val="00F53AEA"/>
    <w:rsid w:val="00F66093"/>
    <w:rsid w:val="00F67C8D"/>
    <w:rsid w:val="00F83F9B"/>
    <w:rsid w:val="00F848D6"/>
    <w:rsid w:val="00F874E5"/>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D522BA"/>
  <w15:chartTrackingRefBased/>
  <w15:docId w15:val="{6060254A-256F-47EC-9653-CCFCDD8C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7">
    <w:name w:val="heading 7"/>
    <w:basedOn w:val="Normal"/>
    <w:next w:val="Normal"/>
    <w:link w:val="Rubrik7Char"/>
    <w:uiPriority w:val="9"/>
    <w:semiHidden/>
    <w:unhideWhenUsed/>
    <w:qFormat/>
    <w:rsid w:val="00057C1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unhideWhenUsed/>
    <w:qFormat/>
    <w:rsid w:val="00F1485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Liststycke">
    <w:name w:val="List Paragraph"/>
    <w:basedOn w:val="Normal"/>
    <w:uiPriority w:val="1"/>
    <w:qFormat/>
    <w:rsid w:val="00350635"/>
    <w:pPr>
      <w:ind w:left="720"/>
      <w:contextualSpacing/>
    </w:pPr>
  </w:style>
  <w:style w:type="character" w:customStyle="1" w:styleId="Rubrik8Char">
    <w:name w:val="Rubrik 8 Char"/>
    <w:basedOn w:val="Standardstycketeckensnitt"/>
    <w:link w:val="Rubrik8"/>
    <w:uiPriority w:val="9"/>
    <w:rsid w:val="00F1485A"/>
    <w:rPr>
      <w:rFonts w:asciiTheme="majorHAnsi" w:eastAsiaTheme="majorEastAsia" w:hAnsiTheme="majorHAnsi" w:cstheme="majorBidi"/>
      <w:color w:val="272727" w:themeColor="text1" w:themeTint="D8"/>
      <w:sz w:val="21"/>
      <w:szCs w:val="21"/>
    </w:rPr>
  </w:style>
  <w:style w:type="paragraph" w:styleId="Ballongtext">
    <w:name w:val="Balloon Text"/>
    <w:basedOn w:val="Normal"/>
    <w:link w:val="BallongtextChar"/>
    <w:uiPriority w:val="99"/>
    <w:semiHidden/>
    <w:unhideWhenUsed/>
    <w:rsid w:val="006C5AD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C5ADB"/>
    <w:rPr>
      <w:rFonts w:ascii="Segoe UI" w:hAnsi="Segoe UI" w:cs="Segoe UI"/>
      <w:sz w:val="18"/>
      <w:szCs w:val="18"/>
    </w:rPr>
  </w:style>
  <w:style w:type="character" w:customStyle="1" w:styleId="Rubrik7Char">
    <w:name w:val="Rubrik 7 Char"/>
    <w:basedOn w:val="Standardstycketeckensnitt"/>
    <w:link w:val="Rubrik7"/>
    <w:uiPriority w:val="9"/>
    <w:semiHidden/>
    <w:rsid w:val="00057C17"/>
    <w:rPr>
      <w:rFonts w:asciiTheme="majorHAnsi" w:eastAsiaTheme="majorEastAsia" w:hAnsiTheme="majorHAnsi" w:cstheme="majorBidi"/>
      <w:i/>
      <w:iCs/>
      <w:color w:val="0D1727"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991668">
      <w:bodyDiv w:val="1"/>
      <w:marLeft w:val="0"/>
      <w:marRight w:val="0"/>
      <w:marTop w:val="0"/>
      <w:marBottom w:val="0"/>
      <w:divBdr>
        <w:top w:val="none" w:sz="0" w:space="0" w:color="auto"/>
        <w:left w:val="none" w:sz="0" w:space="0" w:color="auto"/>
        <w:bottom w:val="none" w:sz="0" w:space="0" w:color="auto"/>
        <w:right w:val="none" w:sz="0" w:space="0" w:color="auto"/>
      </w:divBdr>
    </w:div>
    <w:div w:id="664281597">
      <w:bodyDiv w:val="1"/>
      <w:marLeft w:val="0"/>
      <w:marRight w:val="0"/>
      <w:marTop w:val="0"/>
      <w:marBottom w:val="0"/>
      <w:divBdr>
        <w:top w:val="none" w:sz="0" w:space="0" w:color="auto"/>
        <w:left w:val="none" w:sz="0" w:space="0" w:color="auto"/>
        <w:bottom w:val="none" w:sz="0" w:space="0" w:color="auto"/>
        <w:right w:val="none" w:sz="0" w:space="0" w:color="auto"/>
      </w:divBdr>
    </w:div>
    <w:div w:id="1229342286">
      <w:bodyDiv w:val="1"/>
      <w:marLeft w:val="0"/>
      <w:marRight w:val="0"/>
      <w:marTop w:val="0"/>
      <w:marBottom w:val="0"/>
      <w:divBdr>
        <w:top w:val="none" w:sz="0" w:space="0" w:color="auto"/>
        <w:left w:val="none" w:sz="0" w:space="0" w:color="auto"/>
        <w:bottom w:val="none" w:sz="0" w:space="0" w:color="auto"/>
        <w:right w:val="none" w:sz="0" w:space="0" w:color="auto"/>
      </w:divBdr>
    </w:div>
    <w:div w:id="1351755994">
      <w:bodyDiv w:val="1"/>
      <w:marLeft w:val="0"/>
      <w:marRight w:val="0"/>
      <w:marTop w:val="0"/>
      <w:marBottom w:val="0"/>
      <w:divBdr>
        <w:top w:val="none" w:sz="0" w:space="0" w:color="auto"/>
        <w:left w:val="none" w:sz="0" w:space="0" w:color="auto"/>
        <w:bottom w:val="none" w:sz="0" w:space="0" w:color="auto"/>
        <w:right w:val="none" w:sz="0" w:space="0" w:color="auto"/>
      </w:divBdr>
    </w:div>
    <w:div w:id="1403139275">
      <w:bodyDiv w:val="1"/>
      <w:marLeft w:val="0"/>
      <w:marRight w:val="0"/>
      <w:marTop w:val="0"/>
      <w:marBottom w:val="0"/>
      <w:divBdr>
        <w:top w:val="none" w:sz="0" w:space="0" w:color="auto"/>
        <w:left w:val="none" w:sz="0" w:space="0" w:color="auto"/>
        <w:bottom w:val="none" w:sz="0" w:space="0" w:color="auto"/>
        <w:right w:val="none" w:sz="0" w:space="0" w:color="auto"/>
      </w:divBdr>
    </w:div>
    <w:div w:id="1443500360">
      <w:bodyDiv w:val="1"/>
      <w:marLeft w:val="0"/>
      <w:marRight w:val="0"/>
      <w:marTop w:val="0"/>
      <w:marBottom w:val="0"/>
      <w:divBdr>
        <w:top w:val="none" w:sz="0" w:space="0" w:color="auto"/>
        <w:left w:val="none" w:sz="0" w:space="0" w:color="auto"/>
        <w:bottom w:val="none" w:sz="0" w:space="0" w:color="auto"/>
        <w:right w:val="none" w:sz="0" w:space="0" w:color="auto"/>
      </w:divBdr>
    </w:div>
    <w:div w:id="1820417777">
      <w:bodyDiv w:val="1"/>
      <w:marLeft w:val="0"/>
      <w:marRight w:val="0"/>
      <w:marTop w:val="0"/>
      <w:marBottom w:val="0"/>
      <w:divBdr>
        <w:top w:val="none" w:sz="0" w:space="0" w:color="auto"/>
        <w:left w:val="none" w:sz="0" w:space="0" w:color="auto"/>
        <w:bottom w:val="none" w:sz="0" w:space="0" w:color="auto"/>
        <w:right w:val="none" w:sz="0" w:space="0" w:color="auto"/>
      </w:divBdr>
    </w:div>
    <w:div w:id="186170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75C158512BDE924ABB64CF20AC2EF262" ma:contentTypeVersion="32" ma:contentTypeDescription="Skapa nytt dokument med möjlighet att välja RK-mall" ma:contentTypeScope="" ma:versionID="d68dc3b03a1473fd6feceec9b4711a03">
  <xsd:schema xmlns:xsd="http://www.w3.org/2001/XMLSchema" xmlns:xs="http://www.w3.org/2001/XMLSchema" xmlns:p="http://schemas.microsoft.com/office/2006/metadata/properties" xmlns:ns2="4e9c2f0c-7bf8-49af-8356-cbf363fc78a7" xmlns:ns3="cc625d36-bb37-4650-91b9-0c96159295ba" xmlns:ns4="9c9941df-7074-4a92-bf99-225d24d78d61" xmlns:ns5="736d6f9b-0f69-446c-a00c-279b631a456b" targetNamespace="http://schemas.microsoft.com/office/2006/metadata/properties" ma:root="true" ma:fieldsID="fd3ef410348eba3af1aafc8625eacb88" ns2:_="" ns3:_="" ns4:_="" ns5:_="">
    <xsd:import namespace="4e9c2f0c-7bf8-49af-8356-cbf363fc78a7"/>
    <xsd:import namespace="cc625d36-bb37-4650-91b9-0c96159295ba"/>
    <xsd:import namespace="9c9941df-7074-4a92-bf99-225d24d78d61"/>
    <xsd:import namespace="736d6f9b-0f69-446c-a00c-279b631a456b"/>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3:edbe0b5c82304c8e847ab7b8c02a77c3"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5" nillable="true" ma:displayName="Taxonomy Catch All Column1" ma:description="" ma:hidden="true" ma:list="{16c65236-9aff-4c55-b988-7c97b7278da5}" ma:internalName="TaxCatchAllLabel" ma:readOnly="true" ma:showField="CatchAllDataLabel" ma:web="b72c458f-e33b-430a-a69e-5cd6b2f79c85">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0"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Taxonomy Catch All Column" ma:description="" ma:hidden="true" ma:list="{16c65236-9aff-4c55-b988-7c97b7278da5}" ma:internalName="TaxCatchAll" ma:showField="CatchAllData" ma:web="b72c458f-e33b-430a-a69e-5cd6b2f79c85">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736d6f9b-0f69-446c-a00c-279b631a456b">AHYFMWMPXQZM-208881036-74126</_dlc_DocId>
    <_dlc_DocIdUrl xmlns="736d6f9b-0f69-446c-a00c-279b631a456b">
      <Url>https://dhs.sp.regeringskansliet.se/yta/n-eui/_layouts/15/DocIdRedir.aspx?ID=AHYFMWMPXQZM-208881036-74126</Url>
      <Description>AHYFMWMPXQZM-208881036-74126</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d07acfae-4dfa-4949-99a8-259efd31a6ae" ContentTypeId="0x010100BBA312BF02777149882D207184EC35C032"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06F79F-AAA1-4E28-AAAD-AEB3A8B01926}">
  <ds:schemaRefs>
    <ds:schemaRef ds:uri="http://schemas.microsoft.com/sharepoint/v3/contenttype/forms"/>
  </ds:schemaRefs>
</ds:datastoreItem>
</file>

<file path=customXml/itemProps2.xml><?xml version="1.0" encoding="utf-8"?>
<ds:datastoreItem xmlns:ds="http://schemas.openxmlformats.org/officeDocument/2006/customXml" ds:itemID="{6C5009CE-F329-4398-9C12-E19A4EDCC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736d6f9b-0f69-446c-a00c-279b631a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32E82-63CA-4BEB-9A0D-EC3CB50F1C50}">
  <ds:schemaRefs>
    <ds:schemaRef ds:uri="http://lp/documentinfo/RK"/>
  </ds:schemaRefs>
</ds:datastoreItem>
</file>

<file path=customXml/itemProps4.xml><?xml version="1.0" encoding="utf-8"?>
<ds:datastoreItem xmlns:ds="http://schemas.openxmlformats.org/officeDocument/2006/customXml" ds:itemID="{E677E6E5-CF03-4510-98EB-3ACD889CAF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736d6f9b-0f69-446c-a00c-279b631a456b"/>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EBF883E8-0753-4410-A456-3EDD2D28AB3B}">
  <ds:schemaRefs>
    <ds:schemaRef ds:uri="http://schemas.microsoft.com/office/2006/metadata/customXsn"/>
  </ds:schemaRefs>
</ds:datastoreItem>
</file>

<file path=customXml/itemProps6.xml><?xml version="1.0" encoding="utf-8"?>
<ds:datastoreItem xmlns:ds="http://schemas.openxmlformats.org/officeDocument/2006/customXml" ds:itemID="{272A41C8-99F0-40A2-9E71-468AEFC7DC2A}">
  <ds:schemaRefs>
    <ds:schemaRef ds:uri="http://schemas.openxmlformats.org/officeDocument/2006/bibliography"/>
  </ds:schemaRefs>
</ds:datastoreItem>
</file>

<file path=customXml/itemProps7.xml><?xml version="1.0" encoding="utf-8"?>
<ds:datastoreItem xmlns:ds="http://schemas.openxmlformats.org/officeDocument/2006/customXml" ds:itemID="{CE4508A9-7E45-408C-8776-ED394157CBE2}">
  <ds:schemaRefs>
    <ds:schemaRef ds:uri="Microsoft.SharePoint.Taxonomy.ContentTypeSync"/>
  </ds:schemaRefs>
</ds:datastoreItem>
</file>

<file path=customXml/itemProps8.xml><?xml version="1.0" encoding="utf-8"?>
<ds:datastoreItem xmlns:ds="http://schemas.openxmlformats.org/officeDocument/2006/customXml" ds:itemID="{4226F4DC-9929-4A1C-B366-6D63CDE981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3623</Words>
  <Characters>19206</Characters>
  <Application>Microsoft Office Word</Application>
  <DocSecurity>0</DocSecurity>
  <Lines>160</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Sivard-Askvik</dc:creator>
  <cp:keywords/>
  <dc:description/>
  <cp:lastModifiedBy>Helena Sivard-Askvik</cp:lastModifiedBy>
  <cp:revision>7</cp:revision>
  <cp:lastPrinted>2019-12-03T13:04:00Z</cp:lastPrinted>
  <dcterms:created xsi:type="dcterms:W3CDTF">2021-04-30T16:51:00Z</dcterms:created>
  <dcterms:modified xsi:type="dcterms:W3CDTF">2021-06-01T10:11:00Z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0x010100BBA312BF02777149882D207184EC35C0320075C158512BDE924ABB64CF20AC2EF262</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9f43a0b4-36f0-4924-982b-d9617ca6c787</vt:lpwstr>
  </property>
  <property fmtid="{D5CDD505-2E9C-101B-9397-08002B2CF9AE}" pid="6" name="Order">
    <vt:r8>4974800</vt:r8>
  </property>
</Properties>
</file>