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CFD19" w14:textId="77777777" w:rsidR="00CA0D83" w:rsidRPr="00CA0D83" w:rsidRDefault="00CA0D83" w:rsidP="00780DA2">
      <w:pPr>
        <w:tabs>
          <w:tab w:val="left" w:pos="426"/>
        </w:tabs>
        <w:rPr>
          <w:rFonts w:ascii="FuturaStd-CondensedExtraBd" w:hAnsi="FuturaStd-CondensedExtraBd" w:cs="FuturaStd-CondensedExtraBd"/>
          <w:color w:val="008244"/>
          <w:sz w:val="40"/>
          <w:szCs w:val="40"/>
        </w:rPr>
      </w:pPr>
      <w:r>
        <w:rPr>
          <w:rFonts w:ascii="FuturaStd-CondensedExtraBd" w:hAnsi="FuturaStd-CondensedExtraBd"/>
          <w:color w:val="008244"/>
          <w:sz w:val="40"/>
          <w:szCs w:val="40"/>
        </w:rPr>
        <w:t>Utdrag ur</w:t>
      </w:r>
    </w:p>
    <w:p w14:paraId="7A7653E9" w14:textId="77777777" w:rsidR="00780DA2" w:rsidRPr="00780DA2" w:rsidRDefault="00780DA2" w:rsidP="00780DA2">
      <w:pPr>
        <w:tabs>
          <w:tab w:val="left" w:pos="426"/>
        </w:tabs>
        <w:rPr>
          <w:rFonts w:ascii="FuturaStd-CondensedExtraBd" w:hAnsi="FuturaStd-CondensedExtraBd" w:cs="FuturaStd-CondensedExtraBd"/>
          <w:color w:val="008244"/>
          <w:sz w:val="96"/>
          <w:szCs w:val="96"/>
        </w:rPr>
      </w:pPr>
      <w:r>
        <w:rPr>
          <w:rFonts w:ascii="FuturaStd-CondensedExtraBd" w:hAnsi="FuturaStd-CondensedExtraBd"/>
          <w:color w:val="008244"/>
          <w:sz w:val="96"/>
          <w:szCs w:val="96"/>
        </w:rPr>
        <w:t>THE STATE OF THE WORLD’S FORESTS 2020 – TILLSTÅNDET I VÄRLDENS SKOGAR 2020</w:t>
      </w:r>
    </w:p>
    <w:p w14:paraId="287E1BD0" w14:textId="77777777" w:rsidR="00780DA2" w:rsidRPr="00780DA2" w:rsidRDefault="00780DA2" w:rsidP="00780DA2">
      <w:pPr>
        <w:tabs>
          <w:tab w:val="left" w:pos="426"/>
        </w:tabs>
        <w:spacing w:line="240" w:lineRule="auto"/>
        <w:rPr>
          <w:rFonts w:ascii="FuturaStd-Condensed" w:hAnsi="FuturaStd-Condensed" w:cs="FuturaStd-Condensed"/>
          <w:sz w:val="72"/>
          <w:szCs w:val="72"/>
        </w:rPr>
      </w:pPr>
      <w:r>
        <w:rPr>
          <w:rFonts w:ascii="FuturaStd-Condensed" w:hAnsi="FuturaStd-Condensed"/>
          <w:sz w:val="72"/>
          <w:szCs w:val="72"/>
        </w:rPr>
        <w:t xml:space="preserve"> </w:t>
      </w:r>
    </w:p>
    <w:p w14:paraId="08FDD24F" w14:textId="77777777" w:rsidR="00780DA2" w:rsidRPr="00780DA2" w:rsidRDefault="00780DA2" w:rsidP="00780DA2">
      <w:pPr>
        <w:tabs>
          <w:tab w:val="left" w:pos="426"/>
        </w:tabs>
        <w:spacing w:line="240" w:lineRule="auto"/>
        <w:rPr>
          <w:rFonts w:ascii="FuturaStd-Condensed" w:hAnsi="FuturaStd-Condensed" w:cs="FuturaStd-Condensed"/>
          <w:sz w:val="72"/>
          <w:szCs w:val="72"/>
        </w:rPr>
      </w:pPr>
    </w:p>
    <w:p w14:paraId="0C79C8B7" w14:textId="77777777" w:rsidR="00780DA2" w:rsidRPr="003D1893" w:rsidRDefault="00780DA2" w:rsidP="00780DA2">
      <w:pPr>
        <w:autoSpaceDE w:val="0"/>
        <w:autoSpaceDN w:val="0"/>
        <w:adjustRightInd w:val="0"/>
        <w:spacing w:after="0" w:line="240" w:lineRule="auto"/>
        <w:rPr>
          <w:rFonts w:ascii="FuturaStd-CondensedExtraBd" w:hAnsi="FuturaStd-CondensedExtraBd" w:cs="FuturaStd-CondensedExtraBd"/>
          <w:color w:val="008244"/>
          <w:sz w:val="48"/>
          <w:szCs w:val="48"/>
        </w:rPr>
      </w:pPr>
      <w:r>
        <w:rPr>
          <w:rFonts w:ascii="FuturaStd-CondensedExtraBd" w:hAnsi="FuturaStd-CondensedExtraBd"/>
          <w:color w:val="008244"/>
          <w:sz w:val="48"/>
          <w:szCs w:val="48"/>
        </w:rPr>
        <w:t>SKOGAR, BIOLOGISK MÅNGFALD</w:t>
      </w:r>
    </w:p>
    <w:p w14:paraId="3715C7CF" w14:textId="77777777" w:rsidR="00780DA2" w:rsidRPr="003D1893" w:rsidRDefault="00780DA2" w:rsidP="00780DA2">
      <w:pPr>
        <w:tabs>
          <w:tab w:val="left" w:pos="426"/>
        </w:tabs>
        <w:rPr>
          <w:rFonts w:ascii="FuturaStd-CondensedExtraBd" w:hAnsi="FuturaStd-CondensedExtraBd" w:cs="FuturaStd-CondensedExtraBd"/>
          <w:color w:val="008244"/>
          <w:sz w:val="48"/>
          <w:szCs w:val="48"/>
        </w:rPr>
      </w:pPr>
      <w:r>
        <w:rPr>
          <w:rFonts w:ascii="FuturaStd-CondensedExtraBd" w:hAnsi="FuturaStd-CondensedExtraBd"/>
          <w:color w:val="008244"/>
          <w:sz w:val="48"/>
          <w:szCs w:val="48"/>
        </w:rPr>
        <w:t>OCH MÄNNISKOR</w:t>
      </w:r>
    </w:p>
    <w:p w14:paraId="599F13EF" w14:textId="77777777" w:rsidR="00780DA2" w:rsidRPr="00780DA2" w:rsidRDefault="00780DA2" w:rsidP="00780DA2">
      <w:pPr>
        <w:autoSpaceDE w:val="0"/>
        <w:autoSpaceDN w:val="0"/>
        <w:adjustRightInd w:val="0"/>
        <w:spacing w:after="0" w:line="240" w:lineRule="auto"/>
        <w:rPr>
          <w:rFonts w:ascii="FuturaStd-Light" w:hAnsi="FuturaStd-Light" w:cs="FuturaStd-Light"/>
          <w:sz w:val="28"/>
          <w:szCs w:val="28"/>
        </w:rPr>
      </w:pPr>
      <w:r>
        <w:rPr>
          <w:rFonts w:ascii="FuturaStd-Light" w:hAnsi="FuturaStd-Light"/>
          <w:sz w:val="28"/>
          <w:szCs w:val="28"/>
        </w:rPr>
        <w:t>FN:s livsmedels- och jordbruksorganisation</w:t>
      </w:r>
    </w:p>
    <w:p w14:paraId="46CC9975" w14:textId="77777777" w:rsidR="00780DA2" w:rsidRPr="003D1893" w:rsidRDefault="00780DA2" w:rsidP="00780DA2">
      <w:pPr>
        <w:tabs>
          <w:tab w:val="left" w:pos="426"/>
        </w:tabs>
        <w:rPr>
          <w:rFonts w:ascii="Century Gothic" w:hAnsi="Century Gothic"/>
          <w:sz w:val="16"/>
          <w:szCs w:val="16"/>
        </w:rPr>
      </w:pPr>
      <w:r>
        <w:rPr>
          <w:rFonts w:ascii="FuturaStd-Heavy" w:hAnsi="FuturaStd-Heavy"/>
          <w:sz w:val="28"/>
          <w:szCs w:val="28"/>
        </w:rPr>
        <w:t>Rom, 2020</w:t>
      </w:r>
    </w:p>
    <w:p w14:paraId="3227EAFB" w14:textId="77777777" w:rsidR="00780DA2" w:rsidRPr="003D1893" w:rsidRDefault="00780DA2">
      <w:pPr>
        <w:rPr>
          <w:i/>
        </w:rPr>
      </w:pPr>
      <w:r>
        <w:br w:type="page"/>
      </w:r>
    </w:p>
    <w:p w14:paraId="406E71FB" w14:textId="77777777" w:rsidR="0030381C" w:rsidRPr="003D1893" w:rsidRDefault="0030381C" w:rsidP="00DB5BD2">
      <w:pPr>
        <w:pBdr>
          <w:top w:val="single" w:sz="4" w:space="1" w:color="auto"/>
          <w:left w:val="single" w:sz="4" w:space="4" w:color="auto"/>
          <w:bottom w:val="single" w:sz="4" w:space="1" w:color="auto"/>
          <w:right w:val="single" w:sz="4" w:space="4" w:color="auto"/>
        </w:pBdr>
        <w:rPr>
          <w:i/>
        </w:rPr>
      </w:pPr>
      <w:r>
        <w:rPr>
          <w:i/>
        </w:rPr>
        <w:lastRenderedPageBreak/>
        <w:t>Detta dokument publicerades ursprungligen på engelska av FN:s livsmedels- och jordbruksorganisation. Dokumentet har översatts till svenska av Utrikesdepartementets språktjänst. Utrikesdepartementet ansvarar för kvaliteten på översättningen. I händelse av avvikelser gäller den engelska källtexten.</w:t>
      </w:r>
    </w:p>
    <w:p w14:paraId="68177902" w14:textId="77777777" w:rsidR="0076201C" w:rsidRPr="00CF4310" w:rsidRDefault="0076201C" w:rsidP="007E52C2">
      <w:pPr>
        <w:tabs>
          <w:tab w:val="left" w:pos="426"/>
        </w:tabs>
        <w:rPr>
          <w:b/>
        </w:rPr>
      </w:pPr>
    </w:p>
    <w:p w14:paraId="678A1EDC" w14:textId="77777777" w:rsidR="00134BFC" w:rsidRPr="00CF4310" w:rsidRDefault="00134BFC" w:rsidP="00134BFC">
      <w:pPr>
        <w:tabs>
          <w:tab w:val="left" w:pos="426"/>
        </w:tabs>
        <w:rPr>
          <w:bCs/>
        </w:rPr>
      </w:pPr>
    </w:p>
    <w:p w14:paraId="38CED5A8" w14:textId="7B656439" w:rsidR="00007E91" w:rsidRPr="00134BFC" w:rsidRDefault="00007E91" w:rsidP="007E52C2">
      <w:pPr>
        <w:tabs>
          <w:tab w:val="left" w:pos="426"/>
        </w:tabs>
        <w:rPr>
          <w:b/>
          <w:sz w:val="32"/>
          <w:szCs w:val="32"/>
        </w:rPr>
      </w:pPr>
      <w:r w:rsidRPr="005B3EEA">
        <w:rPr>
          <w:b/>
          <w:sz w:val="32"/>
          <w:szCs w:val="32"/>
          <w:highlight w:val="green"/>
        </w:rPr>
        <w:t xml:space="preserve">SAMMANFATTNING  </w:t>
      </w:r>
      <w:r>
        <w:rPr>
          <w:b/>
          <w:sz w:val="32"/>
          <w:szCs w:val="32"/>
        </w:rPr>
        <w:t xml:space="preserve"> </w:t>
      </w:r>
      <w:r w:rsidR="005B3EEA">
        <w:rPr>
          <w:b/>
          <w:sz w:val="32"/>
          <w:szCs w:val="32"/>
        </w:rPr>
        <w:t xml:space="preserve"> </w:t>
      </w:r>
    </w:p>
    <w:p w14:paraId="71E771E8" w14:textId="77777777" w:rsidR="001B57FC" w:rsidRPr="001B57FC" w:rsidRDefault="001B57FC" w:rsidP="001B57FC">
      <w:pPr>
        <w:tabs>
          <w:tab w:val="left" w:pos="426"/>
        </w:tabs>
        <w:rPr>
          <w:bCs/>
        </w:rPr>
      </w:pPr>
      <w:r>
        <w:t xml:space="preserve">Samtidigt som FN:s årtionde för biologisk mångfald 2011–2020 närmar sig sitt slut och länder förbereder antagandet av en global ram om biologisk mångfald efter 2020 vill vi med denna utgåva av The State of the World’s Forests (SOFO) ta tillfället i akt och undersöka hur skogar, och de som använder och förvaltar dem, bidrar till att bevara och hållbart nyttja den biologiska mångfalden. Utgåvan är avsedd att komplettera The State of the World’s Biodiversity for Food and Agriculture (tillståndet i världen för biologisk mångfald för livsmedel och jordbruk) som publicerades av FN:s livsmedels- och jordbruksorganisation (FAO) i februari 2019, utkastet till rapporten om det globala tillståndet för biologisk mångfald och ekosystemtjänster från FN:s forskarpanel IPBES (den mellanstatliga plattformen för biologisk mångfald och ekosystemtjänster) som publicerades 2019 och den femte rapporten om tillståndet för den biologiska mångfalden i världen som publicerades 2020 inom ramen för konventionen om biologisk mångfald (CBD). </w:t>
      </w:r>
    </w:p>
    <w:p w14:paraId="5709D65A" w14:textId="77777777" w:rsidR="00007E91" w:rsidRDefault="001B57FC" w:rsidP="001B57FC">
      <w:pPr>
        <w:tabs>
          <w:tab w:val="left" w:pos="426"/>
        </w:tabs>
        <w:rPr>
          <w:bCs/>
        </w:rPr>
      </w:pPr>
      <w:r>
        <w:rPr>
          <w:b/>
        </w:rPr>
        <w:t>I skogar finns den största delen av jordens landbaserade biologiska mångfald. Bevarandet av världens biologiska mångfald är därmed i högsta grad avhängigt hur vi interagerar med och nyttjar världens skogar.</w:t>
      </w:r>
      <w:r>
        <w:t xml:space="preserve"> Skogar utgör livsmiljöer för 80 procent av alla arter av amfibier, 75 procent av alla fågelarter och 68 procent av alla däggdjursarter. Cirka 60 procent av alla kärlväxter finns i tropiska skogar. Mangrove utgör en fortplantnings- och uppväxtmiljö för många arter av fisk och skaldjur och hjälper till att binda sediment som annars negativt kan påverka sjögräsängar och korallrev som utgör livsmiljöer för många fler havslevande arter.</w:t>
      </w:r>
    </w:p>
    <w:p w14:paraId="23977621" w14:textId="77777777" w:rsidR="00657B29" w:rsidRPr="00657B29" w:rsidRDefault="00657B29" w:rsidP="00657B29">
      <w:pPr>
        <w:tabs>
          <w:tab w:val="left" w:pos="426"/>
        </w:tabs>
        <w:rPr>
          <w:bCs/>
        </w:rPr>
      </w:pPr>
      <w:r>
        <w:rPr>
          <w:b/>
        </w:rPr>
        <w:t xml:space="preserve">Skogar täcker 31 procent av jordens landyta men är inte jämnt utspridda över jorden. Nästan hälften av skogsarealen är förhållandevis intakt och mer än en tredjedel består av primärskog. </w:t>
      </w:r>
      <w:r>
        <w:t>Över hälften av världens skogar finns återfinns i endast fem länder (Brasilien, Kanada, Kina, Ryssland och USA). Nästan hälften av skogsarealen (49 procent) är förhållandevis intakt, medan 9 procent finns i skogsfragment med liten eller ingen konnektivitet. Tropiska regnskogar och boreala barrskogar är minst fragmenterade, medan subtropiska torrskogar och tempererade oceaniska skogar är bland de mest fragmenterade. Ungefär 80 procent av världens skogsareal finns i fragment som är större än 1 miljon hektar. Resterande 20 procent återfinns i fler än 34 miljoner fragment runt om jorden – den övervägande majoriteten är mindre än 1 000 hektar till ytan.</w:t>
      </w:r>
    </w:p>
    <w:p w14:paraId="049B9035" w14:textId="77777777" w:rsidR="00657B29" w:rsidRPr="00657B29" w:rsidRDefault="00657B29" w:rsidP="00657B29">
      <w:pPr>
        <w:tabs>
          <w:tab w:val="left" w:pos="426"/>
        </w:tabs>
        <w:rPr>
          <w:bCs/>
        </w:rPr>
      </w:pPr>
      <w:r>
        <w:lastRenderedPageBreak/>
        <w:t>Mer än en tredjedel (34 procent) av världens skogar är primärskogar, vilka definieras som naturligt föryngrande skogar, med inhemska trädarter, utan tydliga tecken på mänsklig aktivitet och med ekologiska processer som inte är påtagligt rubbade.</w:t>
      </w:r>
    </w:p>
    <w:p w14:paraId="5EF7E7EA" w14:textId="77777777" w:rsidR="00657B29" w:rsidRDefault="00657B29" w:rsidP="00657B29">
      <w:pPr>
        <w:tabs>
          <w:tab w:val="left" w:pos="426"/>
        </w:tabs>
        <w:rPr>
          <w:bCs/>
        </w:rPr>
      </w:pPr>
      <w:r>
        <w:rPr>
          <w:b/>
        </w:rPr>
        <w:t>Avskogningen och skogsförstörelsen fortsätter i oroväckande hastighet, vilket avsevärt bidrar till förlusten av biologisk mångfald.</w:t>
      </w:r>
      <w:r>
        <w:t xml:space="preserve"> Cirka 420 miljoner hektar skog beräknas ha gått förlorade sedan 1990 genom omvandling till annan markanvändning, även om avskogningstakten under de tre senaste årtiondena har minskat. Avskogningstakten mellan 2015 och 2020 beräknades till 10 miljoner hektar per år, en nedgång från 16 miljoner hektar per år under 1990-talet. Primärskogsarealen i världen har minskat med över 80 miljoner hektar sedan 1990. Mer än 100 miljoner hektar skog har påverkats negativt av skogsbränder, skadedjur, sjukdomar, invasiva arter, torka och ogynnsamma väderhändelser.</w:t>
      </w:r>
    </w:p>
    <w:p w14:paraId="0BAE0766" w14:textId="77777777" w:rsidR="004D097F" w:rsidRDefault="00657B29" w:rsidP="004D097F">
      <w:pPr>
        <w:tabs>
          <w:tab w:val="left" w:pos="426"/>
        </w:tabs>
        <w:rPr>
          <w:bCs/>
        </w:rPr>
      </w:pPr>
      <w:r>
        <w:rPr>
          <w:b/>
        </w:rPr>
        <w:t>Jordbrukets expansion fortsätter att vara den primära orsaken till avskogning och skogsfragmentering, med åtföljande förluster av skoglig biologisk mångfald.</w:t>
      </w:r>
      <w:r>
        <w:t xml:space="preserve"> Storskaligt kommersiellt jordbruk (huvudsakligen boskapsuppfödning och odling av sojabönor och oljepalmer) stod för 40 procent av avskogningen för tropiska skogar mellan 2000 och 2010, och självhushållsjordbruk till ytterligare 33 procent. Ironiskt nog är livsmedelssystemens motståndskraft och anpassningskapacitet inför framtida förändringar beroende av just biologisk mångfald – inbegripet torrmarksanpassade busk- och trädarter som bidrar till att motverka ökenutbredning, skogslevande insekter, fladdermöss och fåglar som pollinerar grödor, träd med omfattande rotsystem i bergsekosystem som motverkar markerosion och mangrovearter som bidrar till motståndskraft vid översvämningar i kustområden. När klimatförändringarna ökar riskerna för livsmedelssystem blir skogens roll för avskiljning och lagring av koldioxid och begränsning av klimatförändringarna allt viktigare för jordbrukssektorn. </w:t>
      </w:r>
    </w:p>
    <w:p w14:paraId="7BAA7C44" w14:textId="77777777" w:rsidR="004D097F" w:rsidRDefault="004D097F" w:rsidP="004D097F">
      <w:pPr>
        <w:tabs>
          <w:tab w:val="left" w:pos="426"/>
        </w:tabs>
        <w:rPr>
          <w:bCs/>
        </w:rPr>
      </w:pPr>
      <w:r>
        <w:rPr>
          <w:b/>
        </w:rPr>
        <w:t>Nettoförlusten av skogsareal minskade från 7,8 miljoner hektar per år under 1990-talet till 4,7 miljoner hektar per år under 2010–2020.</w:t>
      </w:r>
      <w:r>
        <w:t xml:space="preserve"> Samtidigt som avskogningen pågår i vissa områden uppstår och anläggs nya skogar genom naturlig utbredning och medvetna åtgärder i andra områden. Som en följd av detta är nettoförlusten av skogsareal mindre än avskogningstakten. I absoluta tal minskade skogsarealen i världen med 178 miljoner hektar mellan 1990 och 2020, vilket motsvarar ett område ungefär lika stort som Libyen.</w:t>
      </w:r>
    </w:p>
    <w:p w14:paraId="5B2C842B" w14:textId="77777777" w:rsidR="00657B29" w:rsidRDefault="004D097F" w:rsidP="004D097F">
      <w:pPr>
        <w:tabs>
          <w:tab w:val="left" w:pos="426"/>
        </w:tabs>
        <w:rPr>
          <w:bCs/>
        </w:rPr>
      </w:pPr>
      <w:r>
        <w:rPr>
          <w:b/>
        </w:rPr>
        <w:t>Skogarnas biologiska mångfald varierar avsevärt utifrån faktorer som skogstyp, geografi, klimat och jordmån – utöver människans nyttjande.</w:t>
      </w:r>
      <w:r>
        <w:t xml:space="preserve"> De flesta skogshabitat i tempererade områden utgör livsmiljö för relativt få djur- och trädarter och arter som tenderar att ha stor geografisk spridning, medan fjällnära skogar i Afrika, Sydamerika och Sydostasien, och låglänta skogar i Australien, Västindien, Centralamerika, utmed Brasiliens kuster och på öarna i Sydostasien utgör livsmiljö för många arter med liten geografisk spridning. Den biologiska mångfalden är mindre intakt i tätbefolkade områden med intensivt jordbruk, till exempel Europa, delar av Bangladesh, Kina, Indien och Nordamerika. Norra Afrika, södra </w:t>
      </w:r>
      <w:r>
        <w:lastRenderedPageBreak/>
        <w:t xml:space="preserve">Australien, Madagaskar, Sydafrika och kusterna utmed Brasilien har också identifierats som områden med betydande förluster i fråga om intakt biologisk mångfald. </w:t>
      </w:r>
    </w:p>
    <w:p w14:paraId="40B5607E" w14:textId="77777777" w:rsidR="004D097F" w:rsidRDefault="004D097F" w:rsidP="004D097F">
      <w:pPr>
        <w:tabs>
          <w:tab w:val="left" w:pos="426"/>
        </w:tabs>
        <w:rPr>
          <w:bCs/>
        </w:rPr>
      </w:pPr>
      <w:r>
        <w:rPr>
          <w:b/>
        </w:rPr>
        <w:t>Arbetet för att förhindra utrotningen av kända hotade arter och förbättra deras bevarandestatus har bara gått långsamt framåt.</w:t>
      </w:r>
      <w:r>
        <w:t xml:space="preserve"> Fler än 60 000 olika trädarter är kända, varav fler än 20 000 av dessa finns upptagna på Internationella naturvårdsunionens (IUCN) rödlista över hotade arter, och fler än 8 000 av dessa bedöms vara globalt hotade (akut hotad, starkt hotad eller sårbar). Fler än 1 400 trädarter bedöms vara akut hotade och i akut behov av bevarandeåtgärder. För närvarande är cirka 8 procent av de skogslevande växter, 5 procent av de skogslevande djur och 5 procent av svamparna som återfinns i skogar listade som akut hotade. Indexet Forest Specialist Index, som bygger på 455 kartlagda populationer av 268 skogslevande däggdjur, amfibier, reptiler och fåglar, sjönk med 53 procent mellan 1970 och 2014, vilket innebär en årlig minskning med 1,7 procent. Detta visar på en allt större risk att dessa arter kommer att kategoriseras som sårbara och i fara för att dö ut.</w:t>
      </w:r>
    </w:p>
    <w:p w14:paraId="01008FDC" w14:textId="30746BBD" w:rsidR="004D097F" w:rsidRDefault="004D097F" w:rsidP="004D097F">
      <w:pPr>
        <w:tabs>
          <w:tab w:val="left" w:pos="426"/>
        </w:tabs>
        <w:rPr>
          <w:bCs/>
        </w:rPr>
      </w:pPr>
      <w:r>
        <w:t xml:space="preserve"> Det är däremot positivt att Nagoyaprotokollet om tillträde till genetiska resurser samt rimlig och rättvis fördelning av den nytta som uppstår vid deras användning har ratificerats av 122 fördragsslutande parter (en ökning med 74 procent jämfört med 2016) och att 146 parter har ratificerat det internationella fördraget om växtgenetiska resurser för livsmedel och jordbruk.</w:t>
      </w:r>
    </w:p>
    <w:p w14:paraId="24B130E5" w14:textId="77777777" w:rsidR="004D097F" w:rsidRDefault="004D097F" w:rsidP="004D097F">
      <w:pPr>
        <w:tabs>
          <w:tab w:val="left" w:pos="426"/>
        </w:tabs>
        <w:rPr>
          <w:bCs/>
        </w:rPr>
      </w:pPr>
      <w:r>
        <w:rPr>
          <w:b/>
        </w:rPr>
        <w:t>Alla människor är beroende av skogar och deras biologiska mångfald, vissa mer än andra.</w:t>
      </w:r>
      <w:r>
        <w:t xml:space="preserve"> Skogar ger mer än 86 miljoner gröna jobb och bidrar till försörjningen för många fler människor än så. Uppskattningsvis tillbringar 880 miljoner människor, många av dem kvinnor, en del av sin tid med att samla brännved eller producera träkol. I låginkomstländer tenderar få människor att vara bosatta i områden med hög trädtäckning och stor skoglig biologisk mångfald, men i dessa områden tenderar andelen fattiga att vara hög. Omkring 252 miljoner människor som lever i skogar och på savanner har inkomster som är lägre än 1,25 USD per dag.</w:t>
      </w:r>
    </w:p>
    <w:p w14:paraId="697F1665" w14:textId="77777777" w:rsidR="009C7A1F" w:rsidRDefault="009C7A1F" w:rsidP="009C7A1F">
      <w:pPr>
        <w:tabs>
          <w:tab w:val="left" w:pos="426"/>
        </w:tabs>
        <w:rPr>
          <w:bCs/>
        </w:rPr>
      </w:pPr>
      <w:r>
        <w:rPr>
          <w:b/>
        </w:rPr>
        <w:t>Att föda mänskligheten och bevara och hållbart nyttja ekosystem är tätt sammanflätade mål som kompletterar varandra.</w:t>
      </w:r>
      <w:r>
        <w:t xml:space="preserve"> Skogar tillhandahåller vatten, begränsar klimatförändringarna och utgör livsmiljö för många pollinatörer, vilka är oumbärliga för en hållbar livsmedelsproduktion. 75 procent av världens viktigaste livsmedelsgrödor, vilka svarar för 35 procent av de livsmedel som produceras i världen, beräknas dra nytta av pollinatörer för frukt-, grönsaks- och fröproduktion.</w:t>
      </w:r>
    </w:p>
    <w:p w14:paraId="2E695D31" w14:textId="77777777" w:rsidR="009C7A1F" w:rsidRDefault="009C7A1F" w:rsidP="009C7A1F">
      <w:pPr>
        <w:tabs>
          <w:tab w:val="left" w:pos="426"/>
        </w:tabs>
        <w:rPr>
          <w:bCs/>
        </w:rPr>
      </w:pPr>
      <w:r>
        <w:t xml:space="preserve">Ungefär 1 miljard människor runt om i världen är i någon utsträckning beroende av vild mat som viltkött, ätbara insekter, ätbara växtprodukter, svamp och fisk, vilka ofta innehåller höga halter av viktiga mikronäringsämnen. Värdet av skogslivsmedel som näringskälla är inte begränsat till låg- och medelinkomstländer. Fler än 100 miljoner människor i EU äter regelbundet vild mat. Ungefär 2,4 miljarder människor, både i stad och på landsbygd, använder träbaserad energi för matlagning. </w:t>
      </w:r>
    </w:p>
    <w:p w14:paraId="1B28E4FD" w14:textId="77777777" w:rsidR="009C7A1F" w:rsidRPr="00CF4310" w:rsidRDefault="009C7A1F" w:rsidP="009C7A1F">
      <w:pPr>
        <w:tabs>
          <w:tab w:val="left" w:pos="426"/>
        </w:tabs>
        <w:rPr>
          <w:bCs/>
        </w:rPr>
      </w:pPr>
    </w:p>
    <w:p w14:paraId="0AE57CA1" w14:textId="77777777" w:rsidR="0096160F" w:rsidRDefault="009C7A1F" w:rsidP="009C7A1F">
      <w:pPr>
        <w:tabs>
          <w:tab w:val="left" w:pos="426"/>
        </w:tabs>
        <w:rPr>
          <w:bCs/>
        </w:rPr>
      </w:pPr>
      <w:r>
        <w:rPr>
          <w:b/>
        </w:rPr>
        <w:lastRenderedPageBreak/>
        <w:t xml:space="preserve">Människans hälsa och välmående är tätt sammankopplad med skogar. </w:t>
      </w:r>
      <w:r>
        <w:t xml:space="preserve">Fler än 28 000 upptecknade växtarter har i dagsläget medicinal användning och många av dessa finns i skogsekosystem. Besök i skogsmiljöer kan påverka vår fysiska och mentala hälsa positivt och många människor har djupa själsliga band till skogar. Men skogar kan även utgöra hälsorisker. Sjukdomar som kan knytas till skogar inbegriper malaria, Chagas sjukdom (även kallad amerikansk trypanosomiasis), afrikansk trypanosomiasis (sömnsjuka), leishmaniasis, borreliainfektion, hiv och ebola. Majoriteten av nya infektionssjukdomar som drabbar människor, inbegripet viruset SARS-CoV-2 som orsakade den nuvarande covid-19-pandemin, är zoonotiska och deras uppkomst kan vara kopplad till habitatförlust på grund av skogsarealförändringar och att människan breder ut sig till skogsområden, två faktorer som ökar människans exponering för vilda djur. </w:t>
      </w:r>
    </w:p>
    <w:p w14:paraId="6DCFB634" w14:textId="77777777" w:rsidR="00270D0B" w:rsidRDefault="0096160F" w:rsidP="009C7A1F">
      <w:pPr>
        <w:tabs>
          <w:tab w:val="left" w:pos="426"/>
        </w:tabs>
        <w:rPr>
          <w:bCs/>
        </w:rPr>
      </w:pPr>
      <w:r>
        <w:rPr>
          <w:b/>
        </w:rPr>
        <w:t>Det är avgörande, och möjligt, med lösningar med en balans mellan bevarande och hållbart nyttjande av skogens biologiska mångfald.</w:t>
      </w:r>
      <w:r>
        <w:t xml:space="preserve"> All mänsklig inverkan på den biologiska mångfalden är inte negativ, något som framgår av denna publikations många konkreta exempel på aktuella och framgångsrika initiativ för att förvalta, bevara, återställa och hållbart nyttja skogens biologiska mångfald.</w:t>
      </w:r>
    </w:p>
    <w:p w14:paraId="5E62E705" w14:textId="77777777" w:rsidR="0096160F" w:rsidRDefault="0096160F" w:rsidP="0096160F">
      <w:pPr>
        <w:tabs>
          <w:tab w:val="left" w:pos="426"/>
        </w:tabs>
        <w:rPr>
          <w:bCs/>
        </w:rPr>
      </w:pPr>
      <w:r>
        <w:rPr>
          <w:b/>
        </w:rPr>
        <w:t>Åtgärder för att bekämpa avskogning och olaglig skogsavverkning har vidtagits i en allt snabbare takt under det senaste årtiondet – något som även gäller internationella avtal och resultatbaserade utbetalningar.</w:t>
      </w:r>
      <w:r>
        <w:t xml:space="preserve"> Hittills har sju länder rapporterat in minskad avskogning till Förenta nationernas ramkonvention om klimatförändringar (UNFCCC) och länder har nu tillgång till utbetalningar baserade på REDD-systemet för minskade utsläpp från avskogning och skogsförstörelse från Gröna klimatfonden och liknande finansieringsmekanismer. I främsta ledet bland åtgärder för att ta itu med olaglig skogsavverkning återfinns handelsbestämmelser i konsumentländer som kräver att importörer ska bekräfta att timmer är lagligt avverkat. Många timmerproducerande länder i tropikerna vidtar liknande åtgärder för att stärka regelefterlevnad och verifiering. 15 av dem håller på att utveckla nationella system för säkerställande av timmerverksamheters lagenlighet i enlighet med EU-mekanismen för skogslagstiftningens efterlevnad samt förvaltning av och handel med skog. I mekanismen ingår krav på att länder även ska genomföra åtgärder för att förebygga olaglig jakt.</w:t>
      </w:r>
    </w:p>
    <w:p w14:paraId="6F7FF5DC" w14:textId="77777777" w:rsidR="0096160F" w:rsidRDefault="0096160F" w:rsidP="0096160F">
      <w:pPr>
        <w:tabs>
          <w:tab w:val="left" w:pos="426"/>
        </w:tabs>
        <w:rPr>
          <w:bCs/>
        </w:rPr>
      </w:pPr>
      <w:r>
        <w:rPr>
          <w:b/>
        </w:rPr>
        <w:t>Aichimål 11 (år 2020 är minst 17 procent av alla landområden skyddade) har överträffats för skogsekosystem som helhet. Skyddade områden är dock i sig inte tillräckligt för att bevara biologisk mångfald.</w:t>
      </w:r>
      <w:r>
        <w:t xml:space="preserve"> 18 procent av skogsarealen i världen, mer än 700 miljoner hektar, finns i lagenligt inrättade skyddade områden som nationalparker, skogsskyddsområden och viltreservat (IUCN-kategorierna I–IV). Dessa områden representerar dock ännu inte fullt ut den biologiska mångfalden i skogsekosystem. I en särskild studie som genomfördes för SOFO 2020 om utvecklingstendenser i fråga om skyddade skogsarealer uppdelat per global ekologisk zon (Global Ecological Zone, GEZ) mellan 1992 och 2015 fann man att 2015 fanns mer än 30 procent av all tropisk regnskog, subtropisk torrskog och tempererad regnskog i rättsligt skyddade områden (IUCN-</w:t>
      </w:r>
      <w:r>
        <w:lastRenderedPageBreak/>
        <w:t>kategorierna I–VI). I studien fann man även att subtropisk fuktskog, tempererad stäppskog och boreal barrskog bör ges hög prioritet vid framtida beslut om att skapa nya skyddade områden eftersom mindre än 10 procent av dessa skogar för närvarande är skyddade. På samma sätt bör områden med höga värden för biologisk mångfald, i fråga om hur betydelsefulla och hur intakta de är, prioriteras, till exempel norra Anderna och Centralamerika, sydöstra Brasilien, delar av Kongobäckenet, södra Japan, Himalaya och delar av Sydostasien och Nya Guinea.</w:t>
      </w:r>
    </w:p>
    <w:p w14:paraId="1C1DF01A" w14:textId="77777777" w:rsidR="0096160F" w:rsidRDefault="0096160F" w:rsidP="0096160F">
      <w:pPr>
        <w:tabs>
          <w:tab w:val="left" w:pos="426"/>
        </w:tabs>
        <w:rPr>
          <w:bCs/>
        </w:rPr>
      </w:pPr>
      <w:r>
        <w:t>Utvecklingen har hittills varit begränsad i fråga om att klassificera särskilda skogsarealer som andra effektiva områdesbaserade skyddsåtgärder, men vägledning om den här kategorin är under utarbetande och kommer innebära viktiga möjligheter vad gäller skogar. Aichimål 7 (år 2020 förvaltas områden som används för jordbruk, vattenbruk och skogsbruk på ett hållbart sätt så att de bevaras) är inte uppfyllt vad gäller skog, men det görs framsteg i förvaltningen av världens skogar. Den mängd skogsareal som omfattas av långsiktiga förvaltningsplaner har ökat betydligt under de senaste 30 åren och uppgår 2020 till uppskattningsvis 2,05 miljarder hektar, vilket motsvarar 54 procent av skogsarealen i världen.</w:t>
      </w:r>
    </w:p>
    <w:p w14:paraId="25676CAD" w14:textId="77777777" w:rsidR="0096160F" w:rsidRDefault="0096160F" w:rsidP="0096160F">
      <w:pPr>
        <w:tabs>
          <w:tab w:val="left" w:pos="426"/>
        </w:tabs>
        <w:rPr>
          <w:bCs/>
        </w:rPr>
      </w:pPr>
      <w:r>
        <w:rPr>
          <w:b/>
        </w:rPr>
        <w:t>De rådande negativa trenderna för biologisk mångfald och ekosystem kommer att undergräva framstegen på vägen mot målen för hållbar utveckling.</w:t>
      </w:r>
      <w:r>
        <w:t xml:space="preserve"> Biologisk mångfald är grundläggande för livet på jorden, men trots vissa positiva trender fortsätter förlusten av biologisk mångfald i snabb takt. Det behövs genomgripande förändringar i hur vi förvaltar våra skogar och deras biologiska mångfald, producerar och konsumerar våra livsmedel och samspelar med naturen. Det är absolut nödvändigt att vi frikopplar miljöförstöring och ohållbar resursanvändning från ekonomisk tillväxt och tillhörande produktions- och konsumtionsmönster och att beslut om markanvändning beaktar skogarnas sanna värde. </w:t>
      </w:r>
    </w:p>
    <w:p w14:paraId="013B890B" w14:textId="77777777" w:rsidR="0096160F" w:rsidRDefault="0096160F" w:rsidP="0096160F">
      <w:pPr>
        <w:tabs>
          <w:tab w:val="left" w:pos="426"/>
        </w:tabs>
        <w:rPr>
          <w:bCs/>
        </w:rPr>
      </w:pPr>
      <w:r>
        <w:rPr>
          <w:b/>
        </w:rPr>
        <w:t>Att säkerställa positiva resultat för både biologisk mångfald och människor kräver en omsorgsfull balans mellan bevarandemål och krav på resurser till stöd för utkomstmöjligheter.</w:t>
      </w:r>
      <w:r>
        <w:t xml:space="preserve"> Det finns ett akut behov att säkerställa att bevarandet av biologisk mångfald införlivas i hur skogsförvaltningen bedrivs i alla skogstyper. Det kräver en realistisk avvägning mellan bevarandemål och lokala behov och krav på resurser till stöd för utkomstmöjligheter, tryggad livsmedelsförsörjning och mänskligt välmående. Detta kräver verkningsfull förvaltning, samstämmig politik mellan sektorer och administrativa nivåer, tryggade besittningsrättsliga förhållanden, respekt för lokalsamhällens och ursprungsbefolkningars rättigheter och kunskaper och stärkt kapacitet att följa utfall gällande biologisk mångfald. Det kräver även nyskapande finansieringsformer. </w:t>
      </w:r>
    </w:p>
    <w:p w14:paraId="3382F8BA" w14:textId="77777777" w:rsidR="00E95DCA" w:rsidRDefault="0096160F" w:rsidP="00E95DCA">
      <w:pPr>
        <w:tabs>
          <w:tab w:val="left" w:pos="426"/>
        </w:tabs>
        <w:rPr>
          <w:bCs/>
        </w:rPr>
      </w:pPr>
      <w:r>
        <w:rPr>
          <w:b/>
        </w:rPr>
        <w:t>Vi behöver förändra våra livsmedelssystem för att hejda avskogningen och förlusten av biologisk mångfald.</w:t>
      </w:r>
      <w:r>
        <w:t xml:space="preserve"> Den största genomgripande förändringen som behövs gäller hur vi producerar och konsumerar livsmedel. Vi måste lämna den nuvarande situationen där efterfrågan på livsmedel leder till olämpliga jordbruksmetoder som utmynnar i storskalig omvandling av skog till jordbruk och förlust av skogsrelaterad biologisk mångfald. Metoder för skogsjordbruk och hållbar produktion, återställd produktivitet för utarmad </w:t>
      </w:r>
      <w:r>
        <w:lastRenderedPageBreak/>
        <w:t>jordbruksmark, en övergång till hälsosammare kosthållning och en minskning av livsmedelsförluster och matsvinn är åtgärder som snarast behöver utökas och utvidgas. Företag inom jordbrukssektorn måste uppfylla sina åtaganden om avskogningsfria varukedjor, och företag som inte gjort åtaganden om noll avskogning bör göra det. Råvaruhandlare bör anta affärsmodeller som är miljömässigt och socialt ansvarsfulla. Dessa åtgärder kommer i många fall att kräva en revidering av den nuvarande politiken, i synnerhet finanspolitik och regelverk.</w:t>
      </w:r>
    </w:p>
    <w:p w14:paraId="2C9E5999" w14:textId="77777777" w:rsidR="00E95DCA" w:rsidRDefault="00E95DCA" w:rsidP="00E95DCA">
      <w:pPr>
        <w:tabs>
          <w:tab w:val="left" w:pos="426"/>
        </w:tabs>
        <w:rPr>
          <w:bCs/>
        </w:rPr>
      </w:pPr>
      <w:r>
        <w:rPr>
          <w:b/>
        </w:rPr>
        <w:t>Omfattande skogsåterställning är nödvändig för att nå de globala målen för hållbar utveckling och förebygga, hejda och vända förlusten av biologisk mångfald.</w:t>
      </w:r>
      <w:r>
        <w:t xml:space="preserve"> Även om 61 länder gemensamt har lovat att återställa 170 miljoner hektar utarmad skogsmark inom ramen för Bonn-utmaningen har utvecklingen till dags dato varit långsam. Skogsåterställning som genomförs på rätt sätt bidrar till att återställa livsmiljöer och ekosystem, skapa jobb och inkomster och är en effektiv naturbaserad lösning på klimatförändringar. FN:s årtionde för återställande av ekosystem 2021–2030 lanserades i mars 2019 och syftar till att påskynda åtgärder för återställande av ekosystem i hela världen.</w:t>
      </w:r>
    </w:p>
    <w:p w14:paraId="1B1FCA65" w14:textId="77777777" w:rsidR="009C7A1F" w:rsidRDefault="00E95DCA" w:rsidP="00E95DCA">
      <w:pPr>
        <w:tabs>
          <w:tab w:val="left" w:pos="426"/>
        </w:tabs>
        <w:rPr>
          <w:bCs/>
        </w:rPr>
      </w:pPr>
      <w:bookmarkStart w:id="0" w:name="_GoBack"/>
      <w:bookmarkEnd w:id="0"/>
      <w:r>
        <w:t>Skogar värdesätts i allt högre grad för sin roll som en naturbaserad lösning på många utmaningar i samband med hållbar utveckling vilket visar sig genom en stärkt politisk vilja och en rad åtaganden om att minska avskogningstakten och återställa utarmade skogsekosystem.</w:t>
      </w:r>
      <w:r>
        <w:rPr>
          <w:b/>
        </w:rPr>
        <w:t xml:space="preserve"> </w:t>
      </w:r>
      <w:r>
        <w:rPr>
          <w:b/>
          <w:bCs/>
        </w:rPr>
        <w:t>Vi måste fortsätta att utnyttja denna dynamik för att få till stånd djärva åtgärder för att förebygga, hejda och vända förlusten av skogar och deras biologiska mångfald, till gagn för nuvarande och kommande generationer.</w:t>
      </w:r>
    </w:p>
    <w:p w14:paraId="2DA44A9A" w14:textId="77777777" w:rsidR="00270D0B" w:rsidRPr="00CF4310" w:rsidRDefault="00270D0B" w:rsidP="004D097F">
      <w:pPr>
        <w:tabs>
          <w:tab w:val="left" w:pos="426"/>
        </w:tabs>
        <w:rPr>
          <w:bCs/>
        </w:rPr>
      </w:pPr>
    </w:p>
    <w:p w14:paraId="12CEBB7B" w14:textId="77777777" w:rsidR="0030381C" w:rsidRPr="005651A6" w:rsidRDefault="0030381C" w:rsidP="0030381C">
      <w:r>
        <w:rPr>
          <w:noProof/>
          <w:sz w:val="20"/>
        </w:rPr>
        <mc:AlternateContent>
          <mc:Choice Requires="wpg">
            <w:drawing>
              <wp:inline distT="0" distB="0" distL="0" distR="0" wp14:anchorId="1FFB26BE" wp14:editId="0109FE53">
                <wp:extent cx="4800600" cy="857250"/>
                <wp:effectExtent l="0" t="0" r="0" b="0"/>
                <wp:docPr id="509"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857250"/>
                          <a:chOff x="0" y="0"/>
                          <a:chExt cx="8065" cy="2429"/>
                        </a:xfrm>
                      </wpg:grpSpPr>
                      <wps:wsp>
                        <wps:cNvPr id="510" name="Rectangle 494"/>
                        <wps:cNvSpPr>
                          <a:spLocks noChangeArrowheads="1"/>
                        </wps:cNvSpPr>
                        <wps:spPr bwMode="auto">
                          <a:xfrm>
                            <a:off x="0" y="0"/>
                            <a:ext cx="8065" cy="2429"/>
                          </a:xfrm>
                          <a:prstGeom prst="rect">
                            <a:avLst/>
                          </a:prstGeom>
                          <a:solidFill>
                            <a:srgbClr val="0082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FCEB88" id="Group 493" o:spid="_x0000_s1026" style="width:378pt;height:67.5pt;mso-position-horizontal-relative:char;mso-position-vertical-relative:line" coordsize="8065,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">
                <v:rect id="Rectangle 494" o:spid="_x0000_s1027" style="position:absolute;width:8065;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" fillcolor="#008244" stroked="f"/>
                <w10:anchorlock/>
              </v:group>
            </w:pict>
          </mc:Fallback>
        </mc:AlternateContent>
      </w:r>
    </w:p>
    <w:sectPr w:rsidR="0030381C" w:rsidRPr="005651A6" w:rsidSect="0093335A">
      <w:headerReference w:type="default" r:id="rId13"/>
      <w:headerReference w:type="first" r:id="rId14"/>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05DA" w14:textId="77777777" w:rsidR="000B30CC" w:rsidRDefault="000B30CC" w:rsidP="00A87A54">
      <w:pPr>
        <w:spacing w:after="0" w:line="240" w:lineRule="auto"/>
      </w:pPr>
      <w:r>
        <w:separator/>
      </w:r>
    </w:p>
  </w:endnote>
  <w:endnote w:type="continuationSeparator" w:id="0">
    <w:p w14:paraId="7F335634" w14:textId="77777777" w:rsidR="000B30CC" w:rsidRDefault="000B30C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Std-CondensedExtraBd">
    <w:altName w:val="Century Gothic"/>
    <w:panose1 w:val="00000000000000000000"/>
    <w:charset w:val="00"/>
    <w:family w:val="swiss"/>
    <w:notTrueType/>
    <w:pitch w:val="default"/>
    <w:sig w:usb0="00000003" w:usb1="00000000" w:usb2="00000000" w:usb3="00000000" w:csb0="00000001" w:csb1="00000000"/>
  </w:font>
  <w:font w:name="FuturaStd-Condensed">
    <w:altName w:val="Century Gothic"/>
    <w:panose1 w:val="00000000000000000000"/>
    <w:charset w:val="00"/>
    <w:family w:val="swiss"/>
    <w:notTrueType/>
    <w:pitch w:val="default"/>
    <w:sig w:usb0="00000003" w:usb1="00000000" w:usb2="00000000" w:usb3="00000000" w:csb0="00000001"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D3CC" w14:textId="77777777" w:rsidR="000B30CC" w:rsidRDefault="000B30CC" w:rsidP="00A87A54">
      <w:pPr>
        <w:spacing w:after="0" w:line="240" w:lineRule="auto"/>
      </w:pPr>
      <w:r>
        <w:separator/>
      </w:r>
    </w:p>
  </w:footnote>
  <w:footnote w:type="continuationSeparator" w:id="0">
    <w:p w14:paraId="6108E519" w14:textId="77777777" w:rsidR="000B30CC" w:rsidRDefault="000B30C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89456"/>
      <w:docPartObj>
        <w:docPartGallery w:val="Page Numbers (Top of Page)"/>
        <w:docPartUnique/>
      </w:docPartObj>
    </w:sdtPr>
    <w:sdtEndPr/>
    <w:sdtContent>
      <w:p w14:paraId="752B4AE1" w14:textId="77777777" w:rsidR="000B30CC" w:rsidRDefault="000B30CC">
        <w:pPr>
          <w:pStyle w:val="Sidhuvud"/>
          <w:jc w:val="right"/>
        </w:pPr>
        <w:r>
          <w:fldChar w:fldCharType="begin"/>
        </w:r>
        <w:r>
          <w:instrText>PAGE   \* MERGEFORMAT</w:instrText>
        </w:r>
        <w:r>
          <w:fldChar w:fldCharType="separate"/>
        </w:r>
        <w:r>
          <w:t>12</w:t>
        </w:r>
        <w:r>
          <w:fldChar w:fldCharType="end"/>
        </w:r>
      </w:p>
    </w:sdtContent>
  </w:sdt>
  <w:p w14:paraId="18E497D8" w14:textId="77777777" w:rsidR="000B30CC" w:rsidRDefault="000B30C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860941"/>
      <w:docPartObj>
        <w:docPartGallery w:val="Page Numbers (Top of Page)"/>
        <w:docPartUnique/>
      </w:docPartObj>
    </w:sdtPr>
    <w:sdtEndPr/>
    <w:sdtContent>
      <w:p w14:paraId="2716A308" w14:textId="77777777" w:rsidR="000B30CC" w:rsidRDefault="000B30CC">
        <w:pPr>
          <w:pStyle w:val="Sidhuvud"/>
          <w:jc w:val="right"/>
        </w:pPr>
        <w:r>
          <w:fldChar w:fldCharType="begin"/>
        </w:r>
        <w:r>
          <w:instrText>PAGE   \* MERGEFORMAT</w:instrText>
        </w:r>
        <w:r>
          <w:fldChar w:fldCharType="separate"/>
        </w:r>
        <w:r>
          <w:t>1</w:t>
        </w:r>
        <w:r>
          <w:fldChar w:fldCharType="end"/>
        </w:r>
      </w:p>
    </w:sdtContent>
  </w:sdt>
  <w:p w14:paraId="2A792986" w14:textId="77777777" w:rsidR="000B30CC" w:rsidRDefault="000B30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90753B"/>
    <w:multiLevelType w:val="hybridMultilevel"/>
    <w:tmpl w:val="65B2C8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BE361F1"/>
    <w:multiLevelType w:val="multilevel"/>
    <w:tmpl w:val="1B563932"/>
    <w:numStyleLink w:val="RKNumreradlista"/>
  </w:abstractNum>
  <w:abstractNum w:abstractNumId="15" w15:restartNumberingAfterBreak="0">
    <w:nsid w:val="2C9B0453"/>
    <w:multiLevelType w:val="multilevel"/>
    <w:tmpl w:val="1A20A4CA"/>
    <w:numStyleLink w:val="RKPunktlista"/>
  </w:abstractNum>
  <w:abstractNum w:abstractNumId="16" w15:restartNumberingAfterBreak="0">
    <w:nsid w:val="2ECF6BA1"/>
    <w:multiLevelType w:val="multilevel"/>
    <w:tmpl w:val="1B563932"/>
    <w:numStyleLink w:val="RKNumreradlista"/>
  </w:abstractNum>
  <w:abstractNum w:abstractNumId="17" w15:restartNumberingAfterBreak="0">
    <w:nsid w:val="2F604539"/>
    <w:multiLevelType w:val="multilevel"/>
    <w:tmpl w:val="1B563932"/>
    <w:numStyleLink w:val="RKNumreradlista"/>
  </w:abstractNum>
  <w:abstractNum w:abstractNumId="18" w15:restartNumberingAfterBreak="0">
    <w:nsid w:val="348522EF"/>
    <w:multiLevelType w:val="multilevel"/>
    <w:tmpl w:val="1B563932"/>
    <w:numStyleLink w:val="RKNumreradlista"/>
  </w:abstractNum>
  <w:abstractNum w:abstractNumId="19"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E02"/>
    <w:multiLevelType w:val="multilevel"/>
    <w:tmpl w:val="1B563932"/>
    <w:numStyleLink w:val="RKNumreradlista"/>
  </w:abstractNum>
  <w:abstractNum w:abstractNumId="21"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70774A"/>
    <w:multiLevelType w:val="multilevel"/>
    <w:tmpl w:val="1B563932"/>
    <w:numStyleLink w:val="RKNumreradlista"/>
  </w:abstractNum>
  <w:abstractNum w:abstractNumId="23" w15:restartNumberingAfterBreak="0">
    <w:nsid w:val="4C84297C"/>
    <w:multiLevelType w:val="multilevel"/>
    <w:tmpl w:val="1B563932"/>
    <w:numStyleLink w:val="RKNumreradlista"/>
  </w:abstractNum>
  <w:abstractNum w:abstractNumId="24" w15:restartNumberingAfterBreak="0">
    <w:nsid w:val="4D904BDB"/>
    <w:multiLevelType w:val="multilevel"/>
    <w:tmpl w:val="1B563932"/>
    <w:numStyleLink w:val="RKNumreradlista"/>
  </w:abstractNum>
  <w:abstractNum w:abstractNumId="25" w15:restartNumberingAfterBreak="0">
    <w:nsid w:val="4DAD38FF"/>
    <w:multiLevelType w:val="multilevel"/>
    <w:tmpl w:val="1B563932"/>
    <w:numStyleLink w:val="RKNumreradlista"/>
  </w:abstractNum>
  <w:abstractNum w:abstractNumId="26" w15:restartNumberingAfterBreak="0">
    <w:nsid w:val="53A05A92"/>
    <w:multiLevelType w:val="multilevel"/>
    <w:tmpl w:val="1B563932"/>
    <w:numStyleLink w:val="RKNumreradlista"/>
  </w:abstractNum>
  <w:abstractNum w:abstractNumId="27" w15:restartNumberingAfterBreak="0">
    <w:nsid w:val="5C6843F9"/>
    <w:multiLevelType w:val="multilevel"/>
    <w:tmpl w:val="1A20A4CA"/>
    <w:numStyleLink w:val="RKPunktlista"/>
  </w:abstractNum>
  <w:abstractNum w:abstractNumId="28" w15:restartNumberingAfterBreak="0">
    <w:nsid w:val="61AC437A"/>
    <w:multiLevelType w:val="multilevel"/>
    <w:tmpl w:val="E2FEA49E"/>
    <w:numStyleLink w:val="RKNumreraderubriker"/>
  </w:abstractNum>
  <w:abstractNum w:abstractNumId="29" w15:restartNumberingAfterBreak="0">
    <w:nsid w:val="64780D1B"/>
    <w:multiLevelType w:val="multilevel"/>
    <w:tmpl w:val="1B563932"/>
    <w:numStyleLink w:val="RKNumreradlista"/>
  </w:abstractNum>
  <w:abstractNum w:abstractNumId="30" w15:restartNumberingAfterBreak="0">
    <w:nsid w:val="664239C2"/>
    <w:multiLevelType w:val="multilevel"/>
    <w:tmpl w:val="1A20A4CA"/>
    <w:numStyleLink w:val="RKPunktlista"/>
  </w:abstractNum>
  <w:abstractNum w:abstractNumId="31" w15:restartNumberingAfterBreak="0">
    <w:nsid w:val="6AA87A6A"/>
    <w:multiLevelType w:val="multilevel"/>
    <w:tmpl w:val="186C6512"/>
    <w:numStyleLink w:val="Strecklistan"/>
  </w:abstractNum>
  <w:abstractNum w:abstractNumId="32" w15:restartNumberingAfterBreak="0">
    <w:nsid w:val="6D8C68B4"/>
    <w:multiLevelType w:val="multilevel"/>
    <w:tmpl w:val="1B563932"/>
    <w:numStyleLink w:val="RKNumreradlista"/>
  </w:abstractNum>
  <w:abstractNum w:abstractNumId="33"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2B7AA7"/>
    <w:multiLevelType w:val="hybridMultilevel"/>
    <w:tmpl w:val="42B23710"/>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4466A28"/>
    <w:multiLevelType w:val="multilevel"/>
    <w:tmpl w:val="1A20A4CA"/>
    <w:numStyleLink w:val="RKPunktlista"/>
  </w:abstractNum>
  <w:abstractNum w:abstractNumId="36" w15:restartNumberingAfterBreak="0">
    <w:nsid w:val="76322898"/>
    <w:multiLevelType w:val="multilevel"/>
    <w:tmpl w:val="186C6512"/>
    <w:numStyleLink w:val="Strecklistan"/>
  </w:abstractNum>
  <w:abstractNum w:abstractNumId="37" w15:restartNumberingAfterBreak="0">
    <w:nsid w:val="7ADC2FB5"/>
    <w:multiLevelType w:val="hybridMultilevel"/>
    <w:tmpl w:val="74A45B7C"/>
    <w:lvl w:ilvl="0" w:tplc="041D000B">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1"/>
  </w:num>
  <w:num w:numId="2">
    <w:abstractNumId w:val="28"/>
  </w:num>
  <w:num w:numId="3">
    <w:abstractNumId w:val="4"/>
  </w:num>
  <w:num w:numId="4">
    <w:abstractNumId w:val="1"/>
  </w:num>
  <w:num w:numId="5">
    <w:abstractNumId w:val="5"/>
  </w:num>
  <w:num w:numId="6">
    <w:abstractNumId w:val="3"/>
  </w:num>
  <w:num w:numId="7">
    <w:abstractNumId w:val="19"/>
  </w:num>
  <w:num w:numId="8">
    <w:abstractNumId w:val="17"/>
  </w:num>
  <w:num w:numId="9">
    <w:abstractNumId w:val="8"/>
  </w:num>
  <w:num w:numId="10">
    <w:abstractNumId w:val="14"/>
  </w:num>
  <w:num w:numId="11">
    <w:abstractNumId w:val="18"/>
  </w:num>
  <w:num w:numId="12">
    <w:abstractNumId w:val="33"/>
  </w:num>
  <w:num w:numId="13">
    <w:abstractNumId w:val="26"/>
  </w:num>
  <w:num w:numId="14">
    <w:abstractNumId w:val="9"/>
  </w:num>
  <w:num w:numId="15">
    <w:abstractNumId w:val="7"/>
  </w:num>
  <w:num w:numId="16">
    <w:abstractNumId w:val="30"/>
  </w:num>
  <w:num w:numId="17">
    <w:abstractNumId w:val="27"/>
  </w:num>
  <w:num w:numId="18">
    <w:abstractNumId w:val="6"/>
  </w:num>
  <w:num w:numId="19">
    <w:abstractNumId w:val="0"/>
  </w:num>
  <w:num w:numId="20">
    <w:abstractNumId w:val="2"/>
  </w:num>
  <w:num w:numId="21">
    <w:abstractNumId w:val="16"/>
  </w:num>
  <w:num w:numId="22">
    <w:abstractNumId w:val="10"/>
  </w:num>
  <w:num w:numId="23">
    <w:abstractNumId w:val="23"/>
  </w:num>
  <w:num w:numId="24">
    <w:abstractNumId w:val="24"/>
  </w:num>
  <w:num w:numId="25">
    <w:abstractNumId w:val="35"/>
  </w:num>
  <w:num w:numId="26">
    <w:abstractNumId w:val="20"/>
  </w:num>
  <w:num w:numId="27">
    <w:abstractNumId w:val="31"/>
  </w:num>
  <w:num w:numId="28">
    <w:abstractNumId w:val="15"/>
  </w:num>
  <w:num w:numId="29">
    <w:abstractNumId w:val="12"/>
  </w:num>
  <w:num w:numId="30">
    <w:abstractNumId w:val="32"/>
  </w:num>
  <w:num w:numId="31">
    <w:abstractNumId w:val="11"/>
  </w:num>
  <w:num w:numId="32">
    <w:abstractNumId w:val="25"/>
  </w:num>
  <w:num w:numId="33">
    <w:abstractNumId w:val="29"/>
  </w:num>
  <w:num w:numId="34">
    <w:abstractNumId w:val="36"/>
  </w:num>
  <w:num w:numId="35">
    <w:abstractNumId w:val="22"/>
  </w:num>
  <w:num w:numId="36">
    <w:abstractNumId w:val="13"/>
  </w:num>
  <w:num w:numId="37">
    <w:abstractNumId w:val="3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A6"/>
    <w:rsid w:val="00004D5C"/>
    <w:rsid w:val="00005F68"/>
    <w:rsid w:val="00007E91"/>
    <w:rsid w:val="00012B00"/>
    <w:rsid w:val="00017386"/>
    <w:rsid w:val="00021489"/>
    <w:rsid w:val="00026711"/>
    <w:rsid w:val="000324F9"/>
    <w:rsid w:val="00041EDC"/>
    <w:rsid w:val="000534B2"/>
    <w:rsid w:val="00057FE0"/>
    <w:rsid w:val="000757FC"/>
    <w:rsid w:val="000862E0"/>
    <w:rsid w:val="00093408"/>
    <w:rsid w:val="0009435C"/>
    <w:rsid w:val="000B30CC"/>
    <w:rsid w:val="000C61D1"/>
    <w:rsid w:val="000E12D9"/>
    <w:rsid w:val="000F00B8"/>
    <w:rsid w:val="00111809"/>
    <w:rsid w:val="00121002"/>
    <w:rsid w:val="00126746"/>
    <w:rsid w:val="00134BFC"/>
    <w:rsid w:val="00137A90"/>
    <w:rsid w:val="00144022"/>
    <w:rsid w:val="00170CE4"/>
    <w:rsid w:val="00173126"/>
    <w:rsid w:val="00192E34"/>
    <w:rsid w:val="001B2585"/>
    <w:rsid w:val="001B57FC"/>
    <w:rsid w:val="001C5691"/>
    <w:rsid w:val="001C5DC9"/>
    <w:rsid w:val="001C71A9"/>
    <w:rsid w:val="001F0629"/>
    <w:rsid w:val="001F0736"/>
    <w:rsid w:val="001F4302"/>
    <w:rsid w:val="00204079"/>
    <w:rsid w:val="00211B4E"/>
    <w:rsid w:val="00213258"/>
    <w:rsid w:val="00222258"/>
    <w:rsid w:val="00223AD6"/>
    <w:rsid w:val="00233D52"/>
    <w:rsid w:val="00260CB9"/>
    <w:rsid w:val="00260D2D"/>
    <w:rsid w:val="002610FF"/>
    <w:rsid w:val="00270D0B"/>
    <w:rsid w:val="00281106"/>
    <w:rsid w:val="00282D27"/>
    <w:rsid w:val="00292420"/>
    <w:rsid w:val="002E09D5"/>
    <w:rsid w:val="002E4D3F"/>
    <w:rsid w:val="002F66A6"/>
    <w:rsid w:val="0030381C"/>
    <w:rsid w:val="003050DB"/>
    <w:rsid w:val="00307E0B"/>
    <w:rsid w:val="00310561"/>
    <w:rsid w:val="003128E2"/>
    <w:rsid w:val="00314336"/>
    <w:rsid w:val="00326C03"/>
    <w:rsid w:val="00334A53"/>
    <w:rsid w:val="00340DE0"/>
    <w:rsid w:val="00342327"/>
    <w:rsid w:val="00347E11"/>
    <w:rsid w:val="00350C92"/>
    <w:rsid w:val="00352010"/>
    <w:rsid w:val="00370311"/>
    <w:rsid w:val="00373D3D"/>
    <w:rsid w:val="0038587E"/>
    <w:rsid w:val="00392ED4"/>
    <w:rsid w:val="003961D7"/>
    <w:rsid w:val="003A018B"/>
    <w:rsid w:val="003A5630"/>
    <w:rsid w:val="003A5969"/>
    <w:rsid w:val="003A5C58"/>
    <w:rsid w:val="003C4BFD"/>
    <w:rsid w:val="003C7BE0"/>
    <w:rsid w:val="003D0DD3"/>
    <w:rsid w:val="003D17EF"/>
    <w:rsid w:val="003D1893"/>
    <w:rsid w:val="003D34B1"/>
    <w:rsid w:val="003D3535"/>
    <w:rsid w:val="003E6020"/>
    <w:rsid w:val="0041223B"/>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649A"/>
    <w:rsid w:val="004C70EE"/>
    <w:rsid w:val="004D097F"/>
    <w:rsid w:val="004E22BD"/>
    <w:rsid w:val="004E25CD"/>
    <w:rsid w:val="004F0448"/>
    <w:rsid w:val="004F6525"/>
    <w:rsid w:val="0052127C"/>
    <w:rsid w:val="00533841"/>
    <w:rsid w:val="00544738"/>
    <w:rsid w:val="005456E4"/>
    <w:rsid w:val="00547B89"/>
    <w:rsid w:val="005606BC"/>
    <w:rsid w:val="005651A6"/>
    <w:rsid w:val="00567799"/>
    <w:rsid w:val="00571A0B"/>
    <w:rsid w:val="005850D7"/>
    <w:rsid w:val="00595846"/>
    <w:rsid w:val="00596E2B"/>
    <w:rsid w:val="005A5193"/>
    <w:rsid w:val="005B3EEA"/>
    <w:rsid w:val="005E2F29"/>
    <w:rsid w:val="005E4E79"/>
    <w:rsid w:val="005E5AEF"/>
    <w:rsid w:val="006175D7"/>
    <w:rsid w:val="006208E5"/>
    <w:rsid w:val="00631F82"/>
    <w:rsid w:val="00654B4D"/>
    <w:rsid w:val="00657B29"/>
    <w:rsid w:val="00670A48"/>
    <w:rsid w:val="00672F6F"/>
    <w:rsid w:val="0069523C"/>
    <w:rsid w:val="006B003D"/>
    <w:rsid w:val="006B4A30"/>
    <w:rsid w:val="006B7569"/>
    <w:rsid w:val="006D3188"/>
    <w:rsid w:val="006D59F9"/>
    <w:rsid w:val="006E08FC"/>
    <w:rsid w:val="006F2588"/>
    <w:rsid w:val="00710A6C"/>
    <w:rsid w:val="00712266"/>
    <w:rsid w:val="00732C27"/>
    <w:rsid w:val="0075025B"/>
    <w:rsid w:val="00750C93"/>
    <w:rsid w:val="00757B3B"/>
    <w:rsid w:val="0076201C"/>
    <w:rsid w:val="00773075"/>
    <w:rsid w:val="00780DA2"/>
    <w:rsid w:val="00782B3F"/>
    <w:rsid w:val="0079641B"/>
    <w:rsid w:val="007A629C"/>
    <w:rsid w:val="007C44FF"/>
    <w:rsid w:val="007C7BDB"/>
    <w:rsid w:val="007D5C05"/>
    <w:rsid w:val="007D73AB"/>
    <w:rsid w:val="007E52C2"/>
    <w:rsid w:val="007F516C"/>
    <w:rsid w:val="00804C1B"/>
    <w:rsid w:val="00811721"/>
    <w:rsid w:val="00812DD8"/>
    <w:rsid w:val="00816677"/>
    <w:rsid w:val="008178E6"/>
    <w:rsid w:val="00830E6D"/>
    <w:rsid w:val="008375D5"/>
    <w:rsid w:val="00875DDD"/>
    <w:rsid w:val="00890332"/>
    <w:rsid w:val="00891929"/>
    <w:rsid w:val="00896210"/>
    <w:rsid w:val="008A0A0D"/>
    <w:rsid w:val="008C562B"/>
    <w:rsid w:val="008D3090"/>
    <w:rsid w:val="008D4306"/>
    <w:rsid w:val="008D4508"/>
    <w:rsid w:val="008E77D6"/>
    <w:rsid w:val="0093335A"/>
    <w:rsid w:val="0094502D"/>
    <w:rsid w:val="00947013"/>
    <w:rsid w:val="00954E1F"/>
    <w:rsid w:val="00957413"/>
    <w:rsid w:val="0096160F"/>
    <w:rsid w:val="00985BC0"/>
    <w:rsid w:val="00986CC3"/>
    <w:rsid w:val="00991FEB"/>
    <w:rsid w:val="009920AA"/>
    <w:rsid w:val="009A4D0A"/>
    <w:rsid w:val="009A6348"/>
    <w:rsid w:val="009C2459"/>
    <w:rsid w:val="009C7A1F"/>
    <w:rsid w:val="009D5D40"/>
    <w:rsid w:val="009D6B1B"/>
    <w:rsid w:val="009E107B"/>
    <w:rsid w:val="009E18D6"/>
    <w:rsid w:val="00A01F5C"/>
    <w:rsid w:val="00A061BD"/>
    <w:rsid w:val="00A30EA5"/>
    <w:rsid w:val="00A3270B"/>
    <w:rsid w:val="00A40319"/>
    <w:rsid w:val="00A43B02"/>
    <w:rsid w:val="00A5156E"/>
    <w:rsid w:val="00A56824"/>
    <w:rsid w:val="00A65C80"/>
    <w:rsid w:val="00A67276"/>
    <w:rsid w:val="00A67840"/>
    <w:rsid w:val="00A743AC"/>
    <w:rsid w:val="00A87A54"/>
    <w:rsid w:val="00A92F0A"/>
    <w:rsid w:val="00A9558B"/>
    <w:rsid w:val="00AA08D9"/>
    <w:rsid w:val="00AA1809"/>
    <w:rsid w:val="00AB6313"/>
    <w:rsid w:val="00AF0BB7"/>
    <w:rsid w:val="00AF0EDE"/>
    <w:rsid w:val="00B06751"/>
    <w:rsid w:val="00B2169D"/>
    <w:rsid w:val="00B21CBB"/>
    <w:rsid w:val="00B316CA"/>
    <w:rsid w:val="00B41F72"/>
    <w:rsid w:val="00B517E1"/>
    <w:rsid w:val="00B55E70"/>
    <w:rsid w:val="00B639D8"/>
    <w:rsid w:val="00B7663C"/>
    <w:rsid w:val="00B84409"/>
    <w:rsid w:val="00BA2B0B"/>
    <w:rsid w:val="00BB4BDC"/>
    <w:rsid w:val="00BB5683"/>
    <w:rsid w:val="00BD0826"/>
    <w:rsid w:val="00BE3210"/>
    <w:rsid w:val="00C141C6"/>
    <w:rsid w:val="00C2071A"/>
    <w:rsid w:val="00C20ACB"/>
    <w:rsid w:val="00C26068"/>
    <w:rsid w:val="00C271A8"/>
    <w:rsid w:val="00C37A77"/>
    <w:rsid w:val="00C4042C"/>
    <w:rsid w:val="00C461E6"/>
    <w:rsid w:val="00C71DFF"/>
    <w:rsid w:val="00C7331A"/>
    <w:rsid w:val="00C93EBA"/>
    <w:rsid w:val="00C9481C"/>
    <w:rsid w:val="00CA0D83"/>
    <w:rsid w:val="00CA4E2C"/>
    <w:rsid w:val="00CA7FF5"/>
    <w:rsid w:val="00CB1E7C"/>
    <w:rsid w:val="00CB2EA1"/>
    <w:rsid w:val="00CB43F1"/>
    <w:rsid w:val="00CB444A"/>
    <w:rsid w:val="00CB6EDE"/>
    <w:rsid w:val="00CC41BA"/>
    <w:rsid w:val="00CD1C6C"/>
    <w:rsid w:val="00CD6169"/>
    <w:rsid w:val="00CF3046"/>
    <w:rsid w:val="00CF4310"/>
    <w:rsid w:val="00CF717A"/>
    <w:rsid w:val="00D021D2"/>
    <w:rsid w:val="00D06617"/>
    <w:rsid w:val="00D13D8A"/>
    <w:rsid w:val="00D279D8"/>
    <w:rsid w:val="00D27C8E"/>
    <w:rsid w:val="00D4141B"/>
    <w:rsid w:val="00D4145D"/>
    <w:rsid w:val="00D45543"/>
    <w:rsid w:val="00D5467F"/>
    <w:rsid w:val="00D6730A"/>
    <w:rsid w:val="00D76068"/>
    <w:rsid w:val="00D76B01"/>
    <w:rsid w:val="00D8066B"/>
    <w:rsid w:val="00D84704"/>
    <w:rsid w:val="00D87B22"/>
    <w:rsid w:val="00D95424"/>
    <w:rsid w:val="00DB5BD2"/>
    <w:rsid w:val="00DB714B"/>
    <w:rsid w:val="00DF5BFB"/>
    <w:rsid w:val="00E073BA"/>
    <w:rsid w:val="00E469E4"/>
    <w:rsid w:val="00E475C3"/>
    <w:rsid w:val="00E509B0"/>
    <w:rsid w:val="00E56A7B"/>
    <w:rsid w:val="00E7634A"/>
    <w:rsid w:val="00E82BA3"/>
    <w:rsid w:val="00E95DCA"/>
    <w:rsid w:val="00EA13D6"/>
    <w:rsid w:val="00EA1688"/>
    <w:rsid w:val="00ED3986"/>
    <w:rsid w:val="00ED592E"/>
    <w:rsid w:val="00ED6ABD"/>
    <w:rsid w:val="00EE3C0F"/>
    <w:rsid w:val="00EF2A7F"/>
    <w:rsid w:val="00F03EAC"/>
    <w:rsid w:val="00F14024"/>
    <w:rsid w:val="00F21353"/>
    <w:rsid w:val="00F259D7"/>
    <w:rsid w:val="00F32D05"/>
    <w:rsid w:val="00F35263"/>
    <w:rsid w:val="00F53AEA"/>
    <w:rsid w:val="00F66093"/>
    <w:rsid w:val="00F848D6"/>
    <w:rsid w:val="00FA5DDD"/>
    <w:rsid w:val="00FB6059"/>
    <w:rsid w:val="00FC1AD1"/>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10037C"/>
  <w15:chartTrackingRefBased/>
  <w15:docId w15:val="{966C9A78-9047-4EFC-8337-400D9785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styleId="Liststycke">
    <w:name w:val="List Paragraph"/>
    <w:basedOn w:val="Normal"/>
    <w:uiPriority w:val="34"/>
    <w:semiHidden/>
    <w:qFormat/>
    <w:rsid w:val="00BB4BDC"/>
    <w:pPr>
      <w:ind w:left="720"/>
      <w:contextualSpacing/>
    </w:pPr>
  </w:style>
  <w:style w:type="character" w:styleId="Olstomnmnande">
    <w:name w:val="Unresolved Mention"/>
    <w:basedOn w:val="Standardstycketeckensnitt"/>
    <w:uiPriority w:val="99"/>
    <w:semiHidden/>
    <w:unhideWhenUsed/>
    <w:rsid w:val="00ED3986"/>
    <w:rPr>
      <w:color w:val="808080"/>
      <w:shd w:val="clear" w:color="auto" w:fill="E6E6E6"/>
    </w:rPr>
  </w:style>
  <w:style w:type="paragraph" w:styleId="Ballongtext">
    <w:name w:val="Balloon Text"/>
    <w:basedOn w:val="Normal"/>
    <w:link w:val="BallongtextChar"/>
    <w:uiPriority w:val="99"/>
    <w:semiHidden/>
    <w:unhideWhenUsed/>
    <w:rsid w:val="00F2135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353"/>
    <w:rPr>
      <w:rFonts w:ascii="Segoe UI" w:hAnsi="Segoe UI" w:cs="Segoe UI"/>
      <w:sz w:val="18"/>
      <w:szCs w:val="18"/>
    </w:rPr>
  </w:style>
  <w:style w:type="paragraph" w:styleId="Kommentarer">
    <w:name w:val="annotation text"/>
    <w:basedOn w:val="Normal"/>
    <w:uiPriority w:val="99"/>
    <w:semiHidden/>
    <w:unhideWhenUsed/>
    <w:pPr>
      <w:spacing w:line="240" w:lineRule="auto"/>
    </w:pPr>
    <w:rPr>
      <w:sz w:val="20"/>
      <w:szCs w:val="20"/>
    </w:rPr>
  </w:style>
  <w:style w:type="character" w:styleId="Kommentarsreferens">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4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0FDA0D9024F6E418818BABE22548896" ma:contentTypeVersion="3" ma:contentTypeDescription="Skapa ett nytt dokument." ma:contentTypeScope="" ma:versionID="867b4b854b3da2b319dadc415514c4a6">
  <xsd:schema xmlns:xsd="http://www.w3.org/2001/XMLSchema" xmlns:xs="http://www.w3.org/2001/XMLSchema" xmlns:p="http://schemas.microsoft.com/office/2006/metadata/properties" xmlns:ns2="736d6f9b-0f69-446c-a00c-279b631a456b" xmlns:ns3="1daf76b3-4cee-4af5-8080-d9834fd63a08" targetNamespace="http://schemas.microsoft.com/office/2006/metadata/properties" ma:root="true" ma:fieldsID="707e3eb745466b504b9b4d3b5db9bd8a" ns2:_="" ns3:_="">
    <xsd:import namespace="736d6f9b-0f69-446c-a00c-279b631a456b"/>
    <xsd:import namespace="1daf76b3-4cee-4af5-8080-d9834fd63a08"/>
    <xsd:element name="properties">
      <xsd:complexType>
        <xsd:sequence>
          <xsd:element name="documentManagement">
            <xsd:complexType>
              <xsd:all>
                <xsd:element ref="ns2:_dlc_DocId" minOccurs="0"/>
                <xsd:element ref="ns2:_dlc_DocIdUrl" minOccurs="0"/>
                <xsd:element ref="ns2:_dlc_DocIdPersistId" minOccurs="0"/>
                <xsd:element ref="ns3:RKOrdnaCla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af76b3-4cee-4af5-8080-d9834fd63a08" elementFormDefault="qualified">
    <xsd:import namespace="http://schemas.microsoft.com/office/2006/documentManagement/types"/>
    <xsd:import namespace="http://schemas.microsoft.com/office/infopath/2007/PartnerControls"/>
    <xsd:element name="RKOrdnaClass" ma:index="7" nillable="true" ma:displayName="RKOrdnaClass" ma:internalName="RKOrdnaClas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KOrdnaClass xmlns="1daf76b3-4cee-4af5-8080-d9834fd63a08" xsi:nil="true"/>
    <_dlc_DocId xmlns="736d6f9b-0f69-446c-a00c-279b631a456b">AHYFMWMPXQZM-208881036-73065</_dlc_DocId>
    <_dlc_DocIdUrl xmlns="736d6f9b-0f69-446c-a00c-279b631a456b">
      <Url>https://dhs.sp.regeringskansliet.se/yta/n-eui/_layouts/15/DocIdRedir.aspx?ID=AHYFMWMPXQZM-208881036-73065</Url>
      <Description>AHYFMWMPXQZM-208881036-73065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FEE7-9717-4AA5-A167-E249B6F06584}">
  <ds:schemaRefs>
    <ds:schemaRef ds:uri="http://schemas.microsoft.com/sharepoint/events"/>
  </ds:schemaRefs>
</ds:datastoreItem>
</file>

<file path=customXml/itemProps2.xml><?xml version="1.0" encoding="utf-8"?>
<ds:datastoreItem xmlns:ds="http://schemas.openxmlformats.org/officeDocument/2006/customXml" ds:itemID="{748ECBA0-9A00-4B20-98D9-99A63F1B4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1daf76b3-4cee-4af5-8080-d9834fd63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51C9F-C139-404F-BD1A-7B12A9A126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af76b3-4cee-4af5-8080-d9834fd63a08"/>
    <ds:schemaRef ds:uri="http://purl.org/dc/terms/"/>
    <ds:schemaRef ds:uri="736d6f9b-0f69-446c-a00c-279b631a456b"/>
    <ds:schemaRef ds:uri="http://www.w3.org/XML/1998/namespace"/>
    <ds:schemaRef ds:uri="http://purl.org/dc/dcmitype/"/>
  </ds:schemaRefs>
</ds:datastoreItem>
</file>

<file path=customXml/itemProps4.xml><?xml version="1.0" encoding="utf-8"?>
<ds:datastoreItem xmlns:ds="http://schemas.openxmlformats.org/officeDocument/2006/customXml" ds:itemID="{B251BE65-500A-4EC0-AE72-1058C2AC23EB}">
  <ds:schemaRefs>
    <ds:schemaRef ds:uri="http://schemas.microsoft.com/sharepoint/v3/contenttype/forms"/>
  </ds:schemaRefs>
</ds:datastoreItem>
</file>

<file path=customXml/itemProps5.xml><?xml version="1.0" encoding="utf-8"?>
<ds:datastoreItem xmlns:ds="http://schemas.openxmlformats.org/officeDocument/2006/customXml" ds:itemID="{87832E82-63CA-4BEB-9A0D-EC3CB50F1C50}">
  <ds:schemaRefs>
    <ds:schemaRef ds:uri="http://lp/documentinfo/RK"/>
  </ds:schemaRefs>
</ds:datastoreItem>
</file>

<file path=customXml/itemProps6.xml><?xml version="1.0" encoding="utf-8"?>
<ds:datastoreItem xmlns:ds="http://schemas.openxmlformats.org/officeDocument/2006/customXml" ds:itemID="{9E32E93A-C469-4DE5-B48D-F4C804D4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14847</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SOFO 2020 Executive summary eng (docx)</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SOFO 2020 Executive summary eng (docx)</dc:title>
  <dc:subject/>
  <dc:creator>Helena Sivard-Askvik</dc:creator>
  <cp:keywords/>
  <dc:description/>
  <cp:lastModifiedBy>Helena Sivard-Askvik</cp:lastModifiedBy>
  <cp:revision>2</cp:revision>
  <cp:lastPrinted>2020-09-07T11:11:00Z</cp:lastPrinted>
  <dcterms:created xsi:type="dcterms:W3CDTF">2020-10-08T06:37:00Z</dcterms:created>
  <dcterms:modified xsi:type="dcterms:W3CDTF">2020-10-08T06:37:00Z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0x010100D0FDA0D9024F6E418818BABE22548896</vt:lpwstr>
  </property>
  <property fmtid="{D5CDD505-2E9C-101B-9397-08002B2CF9AE}" pid="3" name="Organisation">
    <vt:lpwstr/>
  </property>
  <property fmtid="{D5CDD505-2E9C-101B-9397-08002B2CF9AE}" pid="4" name="ActivityCategory">
    <vt:lpwstr/>
  </property>
  <property fmtid="{D5CDD505-2E9C-101B-9397-08002B2CF9AE}" pid="5" name="_dlc_DocId">
    <vt:lpwstr>AHYFMWMPXQZM-1028226955-47784</vt:lpwstr>
  </property>
  <property fmtid="{D5CDD505-2E9C-101B-9397-08002B2CF9AE}" pid="6" name="_dlc_DocIdUrl">
    <vt:lpwstr>https://dhs.sp.regeringskansliet.se/yta/n-eui/EUI_L/_layouts/15/DocIdRedir.aspx?ID=AHYFMWMPXQZM-1028226955-47784, AHYFMWMPXQZM-1028226955-47784</vt:lpwstr>
  </property>
  <property fmtid="{D5CDD505-2E9C-101B-9397-08002B2CF9AE}" pid="7" name="_dlc_DocIdItemGuid">
    <vt:lpwstr>f9fae1eb-23ac-4556-b83c-b9067885fe2a</vt:lpwstr>
  </property>
  <property fmtid="{D5CDD505-2E9C-101B-9397-08002B2CF9AE}" pid="8" name="Order">
    <vt:r8>4853900</vt:r8>
  </property>
  <property fmtid="{D5CDD505-2E9C-101B-9397-08002B2CF9AE}" pid="9" name="TaxCatchAll">
    <vt:lpwstr/>
  </property>
  <property fmtid="{D5CDD505-2E9C-101B-9397-08002B2CF9AE}" pid="10" name="DirtyMigration">
    <vt:bool>false</vt:bool>
  </property>
  <property fmtid="{D5CDD505-2E9C-101B-9397-08002B2CF9AE}" pid="11" name="k46d94c0acf84ab9a79866a9d8b1905f">
    <vt:lpwstr/>
  </property>
  <property fmtid="{D5CDD505-2E9C-101B-9397-08002B2CF9AE}" pid="12" name="edbe0b5c82304c8e847ab7b8c02a77c3">
    <vt:lpwstr/>
  </property>
</Properties>
</file>