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6177B" w14:textId="466736F8" w:rsidR="00F31905" w:rsidRPr="00F31905" w:rsidRDefault="00F31905" w:rsidP="00F31905">
      <w:pPr>
        <w:pStyle w:val="Brdtext"/>
        <w:rPr>
          <w:sz w:val="22"/>
          <w:szCs w:val="22"/>
        </w:rPr>
      </w:pPr>
      <w:r w:rsidRPr="00F31905">
        <w:rPr>
          <w:sz w:val="22"/>
          <w:szCs w:val="22"/>
        </w:rPr>
        <w:t>Detta dokument publicerades ursprungligen på engelska av FN:s Livsmedels- och jordbruksorganisation. Dokumentet har översatts till svenska av Utrikesdepartementets språktjänst. Utrikesdepartementet ansvarar för kvaliteten på översättningen. I händelse av avvikelser gäller den engelska källtexten.</w:t>
      </w:r>
    </w:p>
    <w:p w14:paraId="7D0BF21F" w14:textId="77777777" w:rsidR="00F31905" w:rsidRDefault="00F31905" w:rsidP="00C33D6A">
      <w:pPr>
        <w:pStyle w:val="Rubrik2utannumrering"/>
      </w:pPr>
    </w:p>
    <w:p w14:paraId="1BAF91B9" w14:textId="3FA6CCCF" w:rsidR="00C33D6A" w:rsidRDefault="00C33D6A" w:rsidP="00C33D6A">
      <w:pPr>
        <w:pStyle w:val="Rubrik2utannumrering"/>
      </w:pPr>
      <w:r>
        <w:t>Översättning av sammanfattningen av rapporten Hållbar</w:t>
      </w:r>
      <w:bookmarkStart w:id="0" w:name="_GoBack"/>
      <w:bookmarkEnd w:id="0"/>
      <w:r>
        <w:t>t skogsbruk för tryggad livsmedelsförsörjning och nutrition 2017</w:t>
      </w:r>
    </w:p>
    <w:p w14:paraId="1FC9B905" w14:textId="397623E0" w:rsidR="00DB561E" w:rsidRPr="00C33D6A" w:rsidRDefault="00DB561E" w:rsidP="00C33D6A">
      <w:pPr>
        <w:pStyle w:val="Rubrik3utannumrering"/>
        <w:rPr>
          <w:rFonts w:ascii="Calibri" w:hAnsi="Calibri" w:cs="Calibri"/>
          <w:sz w:val="24"/>
        </w:rPr>
      </w:pPr>
      <w:r w:rsidRPr="00C33D6A">
        <w:rPr>
          <w:rFonts w:ascii="Calibri" w:hAnsi="Calibri" w:cs="Calibri"/>
          <w:sz w:val="24"/>
        </w:rPr>
        <w:t xml:space="preserve">FÖRORD </w:t>
      </w:r>
    </w:p>
    <w:p w14:paraId="18CBA513"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Högnivåpanelen (High Level Panel of Experts, HLPE) för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är </w:t>
      </w:r>
      <w:r w:rsidR="00DA2AC1" w:rsidRPr="00C33D6A">
        <w:rPr>
          <w:rFonts w:ascii="Calibri" w:hAnsi="Calibri" w:cs="Calibri"/>
          <w:sz w:val="24"/>
          <w:szCs w:val="24"/>
        </w:rPr>
        <w:t xml:space="preserve">en samverkan mellan </w:t>
      </w:r>
      <w:r w:rsidRPr="00C33D6A">
        <w:rPr>
          <w:rFonts w:ascii="Calibri" w:hAnsi="Calibri" w:cs="Calibri"/>
          <w:sz w:val="24"/>
          <w:szCs w:val="24"/>
        </w:rPr>
        <w:t>vetenskap och poli</w:t>
      </w:r>
      <w:r w:rsidR="00DA2AC1" w:rsidRPr="00C33D6A">
        <w:rPr>
          <w:rFonts w:ascii="Calibri" w:hAnsi="Calibri" w:cs="Calibri"/>
          <w:sz w:val="24"/>
          <w:szCs w:val="24"/>
        </w:rPr>
        <w:t>cy</w:t>
      </w:r>
      <w:r w:rsidRPr="00C33D6A">
        <w:rPr>
          <w:rFonts w:ascii="Calibri" w:hAnsi="Calibri" w:cs="Calibri"/>
          <w:sz w:val="24"/>
          <w:szCs w:val="24"/>
        </w:rPr>
        <w:t xml:space="preserve"> inom FAO:s </w:t>
      </w:r>
      <w:r w:rsidR="00DA2AC1" w:rsidRPr="00C33D6A">
        <w:rPr>
          <w:rFonts w:ascii="Calibri" w:hAnsi="Calibri" w:cs="Calibri"/>
          <w:sz w:val="24"/>
          <w:szCs w:val="24"/>
        </w:rPr>
        <w:t>Kommitté för tryggad livsmedelsförsörjning</w:t>
      </w:r>
      <w:r w:rsidRPr="00C33D6A">
        <w:rPr>
          <w:rFonts w:ascii="Calibri" w:hAnsi="Calibri" w:cs="Calibri"/>
          <w:sz w:val="24"/>
          <w:szCs w:val="24"/>
        </w:rPr>
        <w:t xml:space="preserve">(CFS), som är världens främsta inkluderande och evidensbaserade mellanstatliga plattform för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w:t>
      </w:r>
    </w:p>
    <w:p w14:paraId="57887C7A"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HLPE:s rapporter fungerar som en gemensam, övergripande och evidensbaserad utgångspunkt för mellanstatliga och internationella politiska debatter mellan olika intressenter inom CFS. HLPE bygger sina studier på befintlig forskning och kunskap och strävar efter att bringa klarhet i motstridiga uppgifter och kunskapssystem, klarlägga bakgrunder och orsaker till kontroverser samt identifiera framväxande problem. För att kunna göra detta leder HLPE en vetenskaplig dialog som bygger på de olika forskningsfält, bakgrunder och kunskapssystem som finns representerade hos medlemmarna i styrkommittén och projektgrupperna. Dialogen omfattar också den kunskapsgemenskap som deltar i öppna elektroniska samråd.  </w:t>
      </w:r>
    </w:p>
    <w:p w14:paraId="2A1C4577"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HLPE:s rapporter har en utbredd användning som referensdokument inom och utanför CFS och FN-systemet, av det vetenskapliga samfundet och av politiska beslutsfattare och intressenter på internationell, regional och nationell nivå.  </w:t>
      </w:r>
    </w:p>
    <w:p w14:paraId="28C66165" w14:textId="77777777" w:rsidR="00C33D6A" w:rsidRPr="00C33D6A" w:rsidRDefault="00C33D6A" w:rsidP="00C33D6A">
      <w:pPr>
        <w:rPr>
          <w:rFonts w:ascii="Calibri" w:hAnsi="Calibri" w:cs="Calibri"/>
          <w:sz w:val="24"/>
          <w:szCs w:val="24"/>
        </w:rPr>
      </w:pPr>
      <w:r w:rsidRPr="00C33D6A">
        <w:rPr>
          <w:rFonts w:ascii="Calibri" w:hAnsi="Calibri" w:cs="Calibri"/>
          <w:sz w:val="24"/>
          <w:szCs w:val="24"/>
        </w:rPr>
        <w:t xml:space="preserve">*** </w:t>
      </w:r>
    </w:p>
    <w:p w14:paraId="692AB40F"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Vid sitt 41:a </w:t>
      </w:r>
      <w:r w:rsidR="00DA2AC1" w:rsidRPr="00C33D6A">
        <w:rPr>
          <w:rFonts w:ascii="Calibri" w:hAnsi="Calibri" w:cs="Calibri"/>
          <w:sz w:val="24"/>
          <w:szCs w:val="24"/>
        </w:rPr>
        <w:t>möte</w:t>
      </w:r>
      <w:r w:rsidRPr="00C33D6A">
        <w:rPr>
          <w:rFonts w:ascii="Calibri" w:hAnsi="Calibri" w:cs="Calibri"/>
          <w:sz w:val="24"/>
          <w:szCs w:val="24"/>
        </w:rPr>
        <w:t xml:space="preserve"> i oktober 2014 gav CFS i uppdrag till HLPE att genomföra en studie om hållbart skogsbruk för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som underlag för debatterna vid CFS 44:e</w:t>
      </w:r>
      <w:r w:rsidR="00DA2AC1" w:rsidRPr="00C33D6A">
        <w:rPr>
          <w:rFonts w:ascii="Calibri" w:hAnsi="Calibri" w:cs="Calibri"/>
          <w:sz w:val="24"/>
          <w:szCs w:val="24"/>
        </w:rPr>
        <w:t xml:space="preserve"> möte</w:t>
      </w:r>
      <w:r w:rsidRPr="00C33D6A">
        <w:rPr>
          <w:rFonts w:ascii="Calibri" w:hAnsi="Calibri" w:cs="Calibri"/>
          <w:sz w:val="24"/>
          <w:szCs w:val="24"/>
        </w:rPr>
        <w:t xml:space="preserve"> i oktober 2017. Den centrala frågan är hur man kan optimera skogarnas och trädens många direkta och indirekta bidrag till de fyra dimensionerna av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(tillgänglighet, åtkomst, tillgodogörande och stabilitet). Frågan ställs mot bakgrund av den växande och konkurrerande efterfrågan på mark, skog och träd (bland annat för träproduktion, livsmedel, energi och ekosystemtjänster) samt mot bakgrund av klimatförändringarna.  </w:t>
      </w:r>
    </w:p>
    <w:p w14:paraId="264A9977"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Skogarnas betydelse har den senaste tiden lyfts fram i debatter om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Diskussionerna om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har ofta varit produktionsinriktade och handlat om att förbättra skördarna inom </w:t>
      </w:r>
      <w:r w:rsidRPr="00C33D6A">
        <w:rPr>
          <w:rFonts w:ascii="Calibri" w:hAnsi="Calibri" w:cs="Calibri"/>
          <w:sz w:val="24"/>
          <w:szCs w:val="24"/>
        </w:rPr>
        <w:lastRenderedPageBreak/>
        <w:t xml:space="preserve">jordbruket och hitta sätt att sprida ny teknik och nya metoder för att få ut mer av den produktiva marken. Skogarna lyftes sällan fram i dessa diskussioner, annat än som ett utrymme för att ytterligare utöka jordbruket eller som en hotad resurs som behövde skyddas på grund av denna utökning. FN:s millenniebedömning av ekosystemen (Millennium Ecosystem Assessment, 2005) har bidragit till den förändrade synen på skogarnas roll för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Bedömningen var visserligen inriktad på miljöproblem, men lyfte också fram kopplingen mellan människors hälsa och näringsintag och ekosystemens hälsa, vilket även omfattar skogarna. I vårt utförande av uppdraget från CFS vänder vi på perspektivet i den här rapporten och fokuserar på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w:t>
      </w:r>
    </w:p>
    <w:p w14:paraId="16EE20EE"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Rapporten visar att skogar och träd bidrar till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på fyra huvudsakliga sätt: som direkt källa till livsmedel, som energikälla (särskilt för matlagning), som källa till inkomst och sysselsättning och som källa till ekosystemtjänster som är avgörande för livsmedelsproduktionen på sikt, t.ex. vattenreglering, markskydd, bevarande av den biologiska mångfalden samt anpassning till och motverkande av klimatförändringarna. Bidragen varierar mellan olika typer av skogs- och trädsystem och sätten de brukas på.  </w:t>
      </w:r>
    </w:p>
    <w:p w14:paraId="487214DD"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En undersökning av skogarnas och trädens olika bidrag till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visar att det inte finns någon tydlig gräns där träd slutar generera dessa bidrag. Träd som växer utanför skogsområden fyller också en viktig funktion när det gäller att trygga livsmedels- och näringsförsörjningen. HLPE antar därför ett brett förhållningssätt i den här rapporten, som inte bara omfattar skogar, utan även träd som växer utanför skogar. Rapportens fokus går utöver frågan om avskogning, för att beslutsfattare lättare ska kunna skapa sig en helhetssyn och anta strategier på olika geografiska nivåer och med olika tidsperspektiv. </w:t>
      </w:r>
    </w:p>
    <w:p w14:paraId="5B974A49"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I rapporten efterfrågas ett hållbart skogsbruk som integrerar och tar full hänsyn till den varierande och konkurrerande användningen av skogar och träd samt olika intressenters varierande och ibland oförenliga intressen, behov och rättigheter. Ett hållbart skogsbruk kräver att det inrättas sektorsöverskridande styrningsmekanismer på olika nivåer som 1) gör det möjligt för berörda intressenter, särskilt skogsberoende urinvånare och lokalsamhällen, att bli fullt delaktiga, 2) lyfter fram skogarnas och trädens olika funktioner (t.ex. trä- och livsmedelsproduktion, bevarande av den biologiska mångfalden samt sociala och kulturella fördelar), 3) överväger kort- och långsiktiga mål och 4) identifierar och motverkar konflikter mellan intressenter.  </w:t>
      </w:r>
    </w:p>
    <w:p w14:paraId="5609B0DA"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HLPE har sedan sitt inrättande publicerat 11 rapporter, och håller successivt på att bygga upp en global bild och en omfattande analys av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och de bakomliggande faktorerna. Den här rapporten om hållbart skogsbruk är en uppföljning av rapporten om fiske och vattenbruk (2014) och rapporten om hållbart jordbruk </w:t>
      </w:r>
      <w:r w:rsidRPr="00C33D6A">
        <w:rPr>
          <w:rFonts w:ascii="Calibri" w:hAnsi="Calibri" w:cs="Calibri"/>
          <w:sz w:val="24"/>
          <w:szCs w:val="24"/>
        </w:rPr>
        <w:lastRenderedPageBreak/>
        <w:t xml:space="preserve">(2016). Med den slutför HLPE sin analys av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ur ett sektorsperspektiv. De tre sektorerna har vissa saker gemensamt när det gäller hur de bidrar till en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De är en direkt källa till livsmedel, de genererar inkomst och sysselsättning för många människor, de förvaltar och påverkar naturresurser och de väcker sociala och miljörelaterade frågor. Dessa HLPE-rapporter lyfter också fram det ömsesidiga beroendet mellan de tre sektorerna, som konkurrerar med varandra om naturresurser – framför allt om mark och vatten. I rapporterna efterfrågas en integrerad strategi, i synnerhet på landskapsnivå, för att människors aktiviteter på ett bättre sätt ska bidra till att genomdriva Agenda 2030 och rätten att få tillräckligt med mat. Precis som rapporten om vattenbruk belyser den här rapporten avvägningarna – som ibland kan leda till konflikter – mellan intressenter med olika rättigheter, behov och intressen. Den lyfter fram behovet av att integrera olika geografiska nivåer och tidsperspektiv för att hantera lokala och globala utmaningar på ett sätt som effektivt bidrar till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w:t>
      </w:r>
    </w:p>
    <w:p w14:paraId="4CD28F55"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Den här rapporten bygger på de viktiga forskningsprogram som drivs av International Union of Forest Research Organizations (IUFRO) och dess många internationella och nationella medlemmar, Center for International Forestry Research (CIFOR) och World Agroforestry Centre (ICRAF) samt på forskningsprogrammet CGIAR Research Program on Forests, Trees and Agroforestry. HLPE berömmer FAO:s arbete med att samordna utarbetandet av den globala skogsresursutvärderingen, med stöd av internationella och nationella organisationer och ett nätverk av nationella korrespondenter. HLPE uppmuntrar FAO att fortsätta sitt arbete med att integrera frågor som rör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framför allt genom att ta fram kvalitativa uppgifter om skogsrelaterad informell verksamhet, exempelvis insamlande av andra skogsprodukter än trä. HLPE anser att hela forsknings- och kunskapssamfundet fortfarande har mycket kvar att göra när det gäller att öka medvetenheten och bygga politiskt relevant kunskap om skogarnas, trädens och skogsjordbrukets direkta och indirekta bidrag till hållbar utveckling och </w:t>
      </w:r>
      <w:r w:rsidR="00DA2AC1" w:rsidRPr="00C33D6A">
        <w:rPr>
          <w:rFonts w:ascii="Calibri" w:hAnsi="Calibri" w:cs="Calibri"/>
          <w:sz w:val="24"/>
          <w:szCs w:val="24"/>
        </w:rPr>
        <w:t>tryggad livsmedelsförsörjning och nutrition</w:t>
      </w:r>
      <w:r w:rsidRPr="00C33D6A">
        <w:rPr>
          <w:rFonts w:ascii="Calibri" w:hAnsi="Calibri" w:cs="Calibri"/>
          <w:sz w:val="24"/>
          <w:szCs w:val="24"/>
        </w:rPr>
        <w:t xml:space="preserve">. </w:t>
      </w:r>
    </w:p>
    <w:p w14:paraId="44D19E8C"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 </w:t>
      </w:r>
    </w:p>
    <w:p w14:paraId="38BC4590"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På styrkommitténs vägnar vill jag tacka samtliga experter som har deltagit i utarbetandet av den här rapporten för deras arbete och engagemang. Jag vill särskilt tacka projektgruppens ledare Terence Sunderland (Storbritannien) och följande medlemmar av projektgruppen: Fernande Abanda (Kamerun), Ronnie de Camino Velozo (Chile), Patrick Matakala (Zambia), Peter May (Brasilien), Anatoly Petrov (Ryssland), Bronwen Powell (Kanada), Bhaskar Vira (Indien) och Camilla Widmark (Sverige).  </w:t>
      </w:r>
    </w:p>
    <w:p w14:paraId="29C583F3"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I arbetet med rapporten har vi också haft stor hjälp av förslag från externa peer reviewers och av kommentarer från en stor mängd experter och institutioner, både i fråga om rapportens omfattning och det första utkastet av rapporten.  </w:t>
      </w:r>
    </w:p>
    <w:p w14:paraId="1963C491"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lastRenderedPageBreak/>
        <w:t xml:space="preserve">Jag vill ge en eloge till HLPE:s sekretariat och tacka dem för deras ovärderliga stöd i vårt arbete.  </w:t>
      </w:r>
    </w:p>
    <w:p w14:paraId="2378A680"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Sist men inte minst vill jag tacka de operativa partner som stöder HLPE:s arbete på ett helt oberoende sätt.  </w:t>
      </w:r>
    </w:p>
    <w:p w14:paraId="66983C56"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 xml:space="preserve">Patrick Caron </w:t>
      </w:r>
    </w:p>
    <w:p w14:paraId="794FA626" w14:textId="77777777" w:rsidR="00DB561E" w:rsidRPr="00C33D6A" w:rsidRDefault="00DB561E" w:rsidP="00DB561E">
      <w:pPr>
        <w:rPr>
          <w:rFonts w:ascii="Calibri" w:hAnsi="Calibri" w:cs="Calibri"/>
          <w:sz w:val="24"/>
          <w:szCs w:val="24"/>
        </w:rPr>
      </w:pPr>
      <w:r w:rsidRPr="00C33D6A">
        <w:rPr>
          <w:rFonts w:ascii="Calibri" w:hAnsi="Calibri" w:cs="Calibri"/>
          <w:sz w:val="24"/>
          <w:szCs w:val="24"/>
        </w:rPr>
        <w:t>Ordförande i HLPE:s styrkommitté, 15 juni 2017</w:t>
      </w:r>
    </w:p>
    <w:p w14:paraId="7FA60A1E" w14:textId="6289BA7C" w:rsidR="00C33D6A" w:rsidRDefault="00C33D6A">
      <w:pPr>
        <w:rPr>
          <w:rFonts w:ascii="Calibri" w:hAnsi="Calibri" w:cs="Calibri"/>
          <w:sz w:val="24"/>
          <w:szCs w:val="24"/>
        </w:rPr>
      </w:pPr>
      <w:r>
        <w:rPr>
          <w:rFonts w:ascii="Calibri" w:hAnsi="Calibri" w:cs="Calibri"/>
          <w:sz w:val="24"/>
          <w:szCs w:val="24"/>
        </w:rPr>
        <w:br w:type="page"/>
      </w:r>
    </w:p>
    <w:p w14:paraId="3F331B09" w14:textId="77777777" w:rsidR="00117AEB" w:rsidRPr="00C33D6A" w:rsidRDefault="00106601" w:rsidP="00C33D6A">
      <w:pPr>
        <w:pStyle w:val="Rubrik2utannumrering"/>
        <w:rPr>
          <w:rFonts w:cs="Calibri"/>
          <w:sz w:val="28"/>
          <w:szCs w:val="28"/>
        </w:rPr>
      </w:pPr>
      <w:r w:rsidRPr="00C33D6A">
        <w:rPr>
          <w:sz w:val="28"/>
          <w:szCs w:val="28"/>
        </w:rPr>
        <w:lastRenderedPageBreak/>
        <w:t>SAMMANFATTNING</w:t>
      </w:r>
    </w:p>
    <w:p w14:paraId="26A1076E" w14:textId="77777777" w:rsidR="00117AEB" w:rsidRPr="00DB561E" w:rsidRDefault="00117AEB" w:rsidP="00F2348B">
      <w:pPr>
        <w:pStyle w:val="Rubrik3utannumrering"/>
        <w:rPr>
          <w:b/>
        </w:rPr>
      </w:pPr>
      <w:r>
        <w:rPr>
          <w:b/>
        </w:rPr>
        <w:t xml:space="preserve">SKOGAR, TRÄD OCH </w:t>
      </w:r>
      <w:r w:rsidR="00DA2AC1">
        <w:rPr>
          <w:b/>
        </w:rPr>
        <w:t>TRYGGAD LIVSMEDELSFÖRSÖRJNING OCH NUTRITION</w:t>
      </w:r>
      <w:r>
        <w:rPr>
          <w:b/>
        </w:rPr>
        <w:t xml:space="preserve">: OMFATTNING OCH TANKERAM </w:t>
      </w:r>
    </w:p>
    <w:p w14:paraId="0AA6D4AA" w14:textId="77777777" w:rsidR="00117AEB" w:rsidRPr="00117AEB" w:rsidRDefault="00117AEB" w:rsidP="00117AEB">
      <w:pPr>
        <w:pStyle w:val="Default"/>
        <w:spacing w:after="133"/>
        <w:rPr>
          <w:rFonts w:ascii="Calibri" w:hAnsi="Calibri" w:cs="Calibri"/>
        </w:rPr>
      </w:pPr>
      <w:r>
        <w:rPr>
          <w:rFonts w:ascii="Calibri" w:hAnsi="Calibri"/>
        </w:rPr>
        <w:t xml:space="preserve">1. Det finns många definitioner av skog som återspeglar både skogsekosystemens mångfald och människors varierande uppfattning om och användning av skog. Termen ”skog” används för att beskriva en bred uppsättning ekosystem, från glest växande träd i torra landskap till gammelskogarnas täta, kompakta skogstäcke i områden med hög nederbörd. En skog kan vara en administrativ enhet, en typ av växttäcke eller en typ av markanvändning. Växttäcke avser markens fysiska utseende, medan markanvändning avser människors användning av marken för olika syften (exempelvis produktion, bevarande och kulturella eller religiösa värden). FAO:s globala skogsresursutvärdering (Global Forest Resources Assessment) har bidragit till att harmonisera de strategier som används för att definiera och kategorisera skogar för statistiska ändamål på global nivå. I den globala skogsresursutvärderingen används en definition av skog med minimigränser för trädhöjd (5 meter), krontäckning (10 procent) och areal (0,5 hektar). </w:t>
      </w:r>
    </w:p>
    <w:p w14:paraId="3D393F19" w14:textId="77777777" w:rsidR="00117AEB" w:rsidRPr="00117AEB" w:rsidRDefault="00117AEB" w:rsidP="00117AEB">
      <w:pPr>
        <w:pStyle w:val="Default"/>
        <w:spacing w:after="133"/>
        <w:rPr>
          <w:rFonts w:ascii="Calibri" w:hAnsi="Calibri" w:cs="Calibri"/>
        </w:rPr>
      </w:pPr>
      <w:r>
        <w:rPr>
          <w:rFonts w:ascii="Calibri" w:hAnsi="Calibri"/>
        </w:rPr>
        <w:t xml:space="preserve">2. Definitionen i den globala skogsresursutvärderingen omfattar mycket varierande typer av skog. Dessutom växer träd i olika typer av landskap. Mot bakgrund av denna mångfald föreslås för den här rapportens syften en typologi för skogar och trädbevuxna landskap med utgångspunkt i den globala skogsresursutvärderingens statistiska kategorier. Den här typologin använder uppgifter från den globala skogsresursutvärderingen och bygger på förvaltningsgrad, eftersom det är det kriterium som mest påverkar skogarnas bidrag till </w:t>
      </w:r>
      <w:r w:rsidR="00DA2AC1">
        <w:rPr>
          <w:rFonts w:ascii="Calibri" w:hAnsi="Calibri"/>
        </w:rPr>
        <w:t>tryggad livsmedelsförsörjning och nutrition</w:t>
      </w:r>
      <w:r>
        <w:rPr>
          <w:rFonts w:ascii="Calibri" w:hAnsi="Calibri"/>
        </w:rPr>
        <w:t xml:space="preserve"> och som lättare kan påverkas på politisk väg. Typologin skiljer mellan tre breda kategorier som betraktas som skog enligt den globala skogsresursutvärderingens definition (primär naturskog [eller gammelskog], sekundär naturskog och planterad skog). En fjärde kategori omfattar annan skogsmark som inte klassificeras som jordbruksmark och som har en krontäckning på 5–10 procent. Den femte kategorin kallas ”träd utanför skogar”. Dessa olika skogstyper kan inte alltid avgränsas på ett enkelt sätt, eftersom de befinner sig på ett spektrum av bruksintensitet längs skogens utvecklingskurva</w:t>
      </w:r>
      <w:r>
        <w:rPr>
          <w:rStyle w:val="Fotnotsreferens"/>
          <w:rFonts w:ascii="Calibri" w:hAnsi="Calibri"/>
        </w:rPr>
        <w:footnoteReference w:id="1"/>
      </w:r>
      <w:r>
        <w:rPr>
          <w:rFonts w:ascii="Calibri" w:hAnsi="Calibri"/>
        </w:rPr>
        <w:t xml:space="preserve">. </w:t>
      </w:r>
    </w:p>
    <w:p w14:paraId="5836648B" w14:textId="77777777" w:rsidR="00117AEB" w:rsidRPr="00117AEB" w:rsidRDefault="00117AEB" w:rsidP="00117AEB">
      <w:pPr>
        <w:pStyle w:val="Default"/>
        <w:spacing w:after="133"/>
        <w:rPr>
          <w:rFonts w:ascii="Calibri" w:hAnsi="Calibri" w:cs="Calibri"/>
        </w:rPr>
      </w:pPr>
      <w:r>
        <w:rPr>
          <w:rFonts w:ascii="Calibri" w:hAnsi="Calibri"/>
        </w:rPr>
        <w:t xml:space="preserve">3. Kategorin ”träd utanför skogar” omfattar de många olika typerna av jordbrukssystem med träd. Detta inbegriper främst skogsplanteringar inom jordbruket, exempelvis oljepalmer, olivträd och fruktodlingar (frukt- och nötträd), samt mycket varierande system för skogsjordbruk och mosaikliknande landskap med skogsbeklädda ytor som är för små för att betraktas som skogar i statistisk mening. Termen ”skogsjordbruk” avser system och tekniker där träd avsiktligt används på samma brukningsenhet som jordbruksgrödor och/eller djur, antingen genom delat utrymme eller genom växelvis användning. Trots sin mångfald har alla dessa system gemensamt att träden blir tätt kopplade till jordbruket och livsmedelsproduktionen. </w:t>
      </w:r>
    </w:p>
    <w:p w14:paraId="39BC06C2" w14:textId="77777777" w:rsidR="00117AEB" w:rsidRPr="00117AEB" w:rsidRDefault="00117AEB" w:rsidP="00117AEB">
      <w:pPr>
        <w:pStyle w:val="Default"/>
        <w:spacing w:after="133"/>
        <w:rPr>
          <w:rFonts w:ascii="Calibri" w:hAnsi="Calibri" w:cs="Calibri"/>
        </w:rPr>
      </w:pPr>
      <w:r>
        <w:rPr>
          <w:rFonts w:ascii="Calibri" w:hAnsi="Calibri"/>
        </w:rPr>
        <w:t xml:space="preserve">4. Alla människor som i någon mån är beroende av skogar och träd för sitt uppehälle kan betraktas som skogsberoende. Mellan 1 och 1,7 miljarder människor kan betraktas som skogsberoende om man räknar med urinvånare som främst är beroende av skogen för </w:t>
      </w:r>
      <w:r>
        <w:rPr>
          <w:rFonts w:ascii="Calibri" w:hAnsi="Calibri"/>
        </w:rPr>
        <w:lastRenderedPageBreak/>
        <w:t xml:space="preserve">självförsörjning, landsbygdsbefolkning som lever i skogar eller deras utkanter, småbrukare som odlar träd eller brukar skogsbeklädd mark samt arbetstagare i formella eller informella skogsbaserade företag. </w:t>
      </w:r>
    </w:p>
    <w:p w14:paraId="7D5C0748" w14:textId="77777777" w:rsidR="00117AEB" w:rsidRDefault="00117AEB" w:rsidP="00117AEB">
      <w:pPr>
        <w:pStyle w:val="Default"/>
        <w:rPr>
          <w:rFonts w:ascii="Calibri" w:hAnsi="Calibri" w:cs="Calibri"/>
        </w:rPr>
      </w:pPr>
      <w:r>
        <w:rPr>
          <w:rFonts w:ascii="Calibri" w:hAnsi="Calibri"/>
        </w:rPr>
        <w:t xml:space="preserve">5. I den här rapporten tolkas begreppet skogsbruk mycket brett och omfattar alla beslut som rör skogsbruk, i alla typer av system eller landskap som inbegriper träd. Detta omfattar bland annat tre breda typer av beslut: om det ska finnas träd eller inte i ett visst område, vilka typer av skogar och träd som i så fall ska finnas och hur dessa ska förvaltas. Syftet med ett hållbart skogsbruk har av FN:s generalförsamling definierats som att upprätthålla och förbättra det ekonomiska, sociala och miljömässiga värdet av alla skogstyper, för nuvarande och kommande generationers välbefinnande. Det hållbara skogsbruket bygger på två grundförutsättningar: för det första att ekosystemen har potential att förnya sig själva och för det andra att de ekonomiska aktiviteter och sociala uppfattningar eller värderingar som definierar människors samspel med miljön är val som kan ändras eller anpassas för att trygga ekosystemens långsiktiga produktivitet och välbefinnande. </w:t>
      </w:r>
    </w:p>
    <w:p w14:paraId="4E9047F2" w14:textId="77777777" w:rsidR="00106601" w:rsidRDefault="00106601" w:rsidP="00117AEB">
      <w:pPr>
        <w:pStyle w:val="Default"/>
        <w:rPr>
          <w:rFonts w:ascii="Calibri" w:hAnsi="Calibri" w:cs="Calibri"/>
        </w:rPr>
      </w:pPr>
    </w:p>
    <w:p w14:paraId="1024F33F" w14:textId="77777777" w:rsidR="00106601" w:rsidRPr="00117AEB" w:rsidRDefault="00106601" w:rsidP="00106601">
      <w:pPr>
        <w:pStyle w:val="Default"/>
        <w:pageBreakBefore/>
        <w:rPr>
          <w:rFonts w:ascii="Calibri" w:hAnsi="Calibri" w:cs="Calibri"/>
          <w:color w:val="auto"/>
        </w:rPr>
      </w:pPr>
      <w:r>
        <w:rPr>
          <w:rFonts w:ascii="Calibri" w:hAnsi="Calibri"/>
          <w:b/>
          <w:color w:val="auto"/>
        </w:rPr>
        <w:lastRenderedPageBreak/>
        <w:t xml:space="preserve">SKOGARNAS OCH TRÄDENS BIDRAG TILL </w:t>
      </w:r>
      <w:r w:rsidR="00DA2AC1">
        <w:rPr>
          <w:rFonts w:ascii="Calibri" w:hAnsi="Calibri"/>
          <w:b/>
          <w:color w:val="auto"/>
        </w:rPr>
        <w:t>TRYGGAD LIVSMEDELSFÖRSÖRJNING OCH NUTRITION</w:t>
      </w:r>
      <w:r>
        <w:rPr>
          <w:rFonts w:ascii="Calibri" w:hAnsi="Calibri"/>
          <w:b/>
          <w:color w:val="auto"/>
        </w:rPr>
        <w:t xml:space="preserve"> </w:t>
      </w:r>
    </w:p>
    <w:p w14:paraId="749473AD" w14:textId="77777777" w:rsidR="00106601" w:rsidRPr="00117AEB" w:rsidRDefault="00106601" w:rsidP="00106601">
      <w:pPr>
        <w:pStyle w:val="Default"/>
        <w:spacing w:after="131"/>
        <w:rPr>
          <w:rFonts w:ascii="Calibri" w:hAnsi="Calibri" w:cs="Calibri"/>
          <w:color w:val="auto"/>
        </w:rPr>
      </w:pPr>
      <w:r>
        <w:rPr>
          <w:rFonts w:ascii="Calibri" w:hAnsi="Calibri"/>
          <w:color w:val="auto"/>
        </w:rPr>
        <w:t xml:space="preserve">6. Skogar och träd bidrar till </w:t>
      </w:r>
      <w:r w:rsidR="00DA2AC1">
        <w:rPr>
          <w:rFonts w:ascii="Calibri" w:hAnsi="Calibri"/>
          <w:color w:val="auto"/>
        </w:rPr>
        <w:t>tryggad livsmedelsförsörjning och nutrition</w:t>
      </w:r>
      <w:r>
        <w:rPr>
          <w:rFonts w:ascii="Calibri" w:hAnsi="Calibri"/>
          <w:color w:val="auto"/>
        </w:rPr>
        <w:t xml:space="preserve"> på fyra huvudsakliga sätt: som direkt källa till livsmedel, som energikälla (i synnerhet för matlagning), som källa till inkomst och sysselsättning och som källa till ekosystemtjänster som är avgörande för </w:t>
      </w:r>
      <w:r w:rsidR="00DA2AC1">
        <w:rPr>
          <w:rFonts w:ascii="Calibri" w:hAnsi="Calibri"/>
          <w:color w:val="auto"/>
        </w:rPr>
        <w:t>tryggad livsmedelsförsörjning och nutrition</w:t>
      </w:r>
      <w:r>
        <w:rPr>
          <w:rFonts w:ascii="Calibri" w:hAnsi="Calibri"/>
          <w:color w:val="auto"/>
        </w:rPr>
        <w:t xml:space="preserve"> samt människors hälsa och välbefinnande. </w:t>
      </w:r>
    </w:p>
    <w:p w14:paraId="7E26B219" w14:textId="77777777" w:rsidR="00117AEB" w:rsidRPr="00117AEB" w:rsidRDefault="00117AEB" w:rsidP="00117AEB">
      <w:pPr>
        <w:pStyle w:val="Default"/>
        <w:rPr>
          <w:rFonts w:ascii="Calibri" w:hAnsi="Calibri" w:cs="Calibri"/>
          <w:color w:val="auto"/>
        </w:rPr>
      </w:pPr>
    </w:p>
    <w:p w14:paraId="2D8B6BD5" w14:textId="77777777" w:rsidR="00117AEB" w:rsidRPr="00117AEB" w:rsidRDefault="00117AEB" w:rsidP="00117AEB">
      <w:pPr>
        <w:pStyle w:val="Default"/>
        <w:spacing w:after="131"/>
        <w:rPr>
          <w:rFonts w:ascii="Calibri" w:hAnsi="Calibri" w:cs="Calibri"/>
          <w:color w:val="auto"/>
        </w:rPr>
      </w:pPr>
      <w:r>
        <w:rPr>
          <w:rFonts w:ascii="Calibri" w:hAnsi="Calibri"/>
          <w:color w:val="auto"/>
        </w:rPr>
        <w:t xml:space="preserve">7. </w:t>
      </w:r>
      <w:r>
        <w:rPr>
          <w:rFonts w:ascii="Calibri" w:hAnsi="Calibri"/>
          <w:i/>
          <w:color w:val="auto"/>
          <w:u w:val="single"/>
        </w:rPr>
        <w:t>Direkt källa till livsmedel</w:t>
      </w:r>
      <w:r>
        <w:rPr>
          <w:rFonts w:ascii="Calibri" w:hAnsi="Calibri"/>
          <w:i/>
          <w:color w:val="auto"/>
        </w:rPr>
        <w:t xml:space="preserve">: </w:t>
      </w:r>
      <w:r>
        <w:rPr>
          <w:rFonts w:ascii="Calibri" w:hAnsi="Calibri"/>
          <w:color w:val="auto"/>
        </w:rPr>
        <w:t xml:space="preserve">Livsmedel från skogen har visserligen beräknats motsvara endast 0,6 procent av den globala försörjningen av livsmedelsenergi, men de bidrar på ett betydande sätt till en kvalitativ och varierad kost och är avgörande för </w:t>
      </w:r>
      <w:r w:rsidR="00DA2AC1">
        <w:rPr>
          <w:rFonts w:ascii="Calibri" w:hAnsi="Calibri"/>
          <w:color w:val="auto"/>
        </w:rPr>
        <w:t>tryggad livsmedelsförsörjning och nutrition</w:t>
      </w:r>
      <w:r>
        <w:rPr>
          <w:rFonts w:ascii="Calibri" w:hAnsi="Calibri"/>
          <w:color w:val="auto"/>
        </w:rPr>
        <w:t xml:space="preserve"> i skogsberoende samhällen. Genom att nå lokala, nationella och internationella marknader bidrar livsmedel från skogen också till en varierad och balanserad kost även för personer som bor långt ifrån skogsområdena. Skogar och träd används också som en källa till foder av jordbrukare och pastoralister i traditionella extensiva system och i mer intensiva silvopastoralistiska system. </w:t>
      </w:r>
    </w:p>
    <w:p w14:paraId="58B4A2DE" w14:textId="77777777" w:rsidR="00117AEB" w:rsidRPr="00117AEB" w:rsidRDefault="00117AEB" w:rsidP="00117AEB">
      <w:pPr>
        <w:pStyle w:val="Default"/>
        <w:spacing w:after="131"/>
        <w:rPr>
          <w:rFonts w:ascii="Calibri" w:hAnsi="Calibri" w:cs="Calibri"/>
          <w:color w:val="auto"/>
        </w:rPr>
      </w:pPr>
      <w:r>
        <w:rPr>
          <w:rFonts w:ascii="Calibri" w:hAnsi="Calibri"/>
          <w:color w:val="auto"/>
        </w:rPr>
        <w:t xml:space="preserve">8. </w:t>
      </w:r>
      <w:r>
        <w:rPr>
          <w:rFonts w:ascii="Calibri" w:hAnsi="Calibri"/>
          <w:i/>
          <w:color w:val="auto"/>
          <w:u w:val="single"/>
        </w:rPr>
        <w:t>Energikälla</w:t>
      </w:r>
      <w:r>
        <w:rPr>
          <w:rFonts w:ascii="Calibri" w:hAnsi="Calibri"/>
          <w:i/>
          <w:color w:val="auto"/>
        </w:rPr>
        <w:t xml:space="preserve">: </w:t>
      </w:r>
      <w:r>
        <w:rPr>
          <w:rFonts w:ascii="Calibri" w:hAnsi="Calibri"/>
          <w:color w:val="auto"/>
        </w:rPr>
        <w:t>Trädbränsle</w:t>
      </w:r>
      <w:r>
        <w:rPr>
          <w:rStyle w:val="Fotnotsreferens"/>
          <w:rFonts w:ascii="Calibri" w:hAnsi="Calibri"/>
          <w:color w:val="auto"/>
        </w:rPr>
        <w:footnoteReference w:id="2"/>
      </w:r>
      <w:r>
        <w:rPr>
          <w:rFonts w:ascii="Calibri" w:hAnsi="Calibri"/>
          <w:color w:val="auto"/>
        </w:rPr>
        <w:t xml:space="preserve"> bidrar till 6 procent av den primära energiförsörjningen globalt och till 27 procent av energiförsörjningen i Afrika. Cirka 2,4 miljarder människor – en tredjedel av världens befolkning (och två tredjedelar av hushållen i Afrika) – använder ved som sin huvudsakliga energikälla vid matlagning. Dessutom använder 764 miljoner människor, varav 644 miljoner bor i Asien, trädbränsle för att koka och sterilisera vatten. </w:t>
      </w:r>
    </w:p>
    <w:p w14:paraId="24D90C58" w14:textId="77777777" w:rsidR="00117AEB" w:rsidRPr="00117AEB" w:rsidRDefault="00117AEB" w:rsidP="00117AEB">
      <w:pPr>
        <w:pStyle w:val="Default"/>
        <w:spacing w:after="131"/>
        <w:rPr>
          <w:rFonts w:ascii="Calibri" w:hAnsi="Calibri" w:cs="Calibri"/>
          <w:color w:val="auto"/>
        </w:rPr>
      </w:pPr>
      <w:r>
        <w:rPr>
          <w:rFonts w:ascii="Calibri" w:hAnsi="Calibri"/>
          <w:color w:val="auto"/>
        </w:rPr>
        <w:t xml:space="preserve">9. </w:t>
      </w:r>
      <w:r>
        <w:rPr>
          <w:rFonts w:ascii="Calibri" w:hAnsi="Calibri"/>
          <w:i/>
          <w:color w:val="auto"/>
          <w:u w:val="single"/>
        </w:rPr>
        <w:t>Inkomst och sysselsättning</w:t>
      </w:r>
      <w:r>
        <w:rPr>
          <w:rFonts w:ascii="Calibri" w:hAnsi="Calibri"/>
          <w:i/>
          <w:color w:val="auto"/>
        </w:rPr>
        <w:t xml:space="preserve">: </w:t>
      </w:r>
      <w:r>
        <w:rPr>
          <w:rFonts w:ascii="Calibri" w:hAnsi="Calibri"/>
          <w:color w:val="auto"/>
        </w:rPr>
        <w:t xml:space="preserve">Formella och informella skogsbrukssektorer är också en viktig källa till sysselsättning och inkomst som ofta underskattas, med tanke på den informella sektorns betydelse. År 2011 sysselsatte den formella skogsbrukssektorn uppskattningsvis 13,2 miljoner människor världen över och stod för 0,9 procent av världens BNP. Bakom dessa siffror döljer sig stora skillnader mellan olika länder och en generell underskattning av skogarnas faktiska bidrag till nationalinkomsten, eftersom de inte inbegriper träprodukters mervärde inom industrisektorn eller exempelvis skogarnas bidrag till turism och friluftsliv. Siffrorna omfattar dessutom bara den formella skogsbrukssektorn, och det saknas fortfarande uppgifter för att man helt ska kunna redogöra för informella, skogsrelaterade aktiviteters betydelse när det gäller att generera inkomster och sysselsättning, bland annat genom trädbränsle och insamlande av andra skogsprodukter än trä. </w:t>
      </w:r>
    </w:p>
    <w:p w14:paraId="35BB62D0" w14:textId="77777777" w:rsidR="00117AEB" w:rsidRPr="00117AEB" w:rsidRDefault="00117AEB" w:rsidP="00117AEB">
      <w:pPr>
        <w:pStyle w:val="Default"/>
        <w:spacing w:after="131"/>
        <w:rPr>
          <w:rFonts w:ascii="Calibri" w:hAnsi="Calibri" w:cs="Calibri"/>
          <w:color w:val="auto"/>
        </w:rPr>
      </w:pPr>
      <w:r>
        <w:rPr>
          <w:rFonts w:ascii="Calibri" w:hAnsi="Calibri"/>
          <w:color w:val="auto"/>
        </w:rPr>
        <w:t xml:space="preserve">10. Skogsprodukter som insamlas för försäljning eller självförsörjning kan, i båda fallen, bidra avsevärt till kvinnors och hela deras hushålls tryggade livsmedels- och näringsförsörjning. Det saknas könsuppdelade uppgifter, men det finns studier som tyder på att kvinnor är mindre delaktiga i den formella sektorn och inkomstbringande aktiviteter, samtidigt som de spelar en avgörande roll vid insamlandet av ved och många andra skogsprodukter (med betydande regionala skillnader). </w:t>
      </w:r>
    </w:p>
    <w:p w14:paraId="70CA8D0B" w14:textId="77777777" w:rsidR="00117AEB" w:rsidRDefault="00117AEB" w:rsidP="00117AEB">
      <w:pPr>
        <w:pStyle w:val="Default"/>
        <w:spacing w:after="131"/>
        <w:rPr>
          <w:rFonts w:ascii="Calibri" w:hAnsi="Calibri" w:cs="Calibri"/>
          <w:color w:val="auto"/>
        </w:rPr>
      </w:pPr>
      <w:r>
        <w:rPr>
          <w:rFonts w:ascii="Calibri" w:hAnsi="Calibri"/>
          <w:color w:val="auto"/>
        </w:rPr>
        <w:t xml:space="preserve">11. </w:t>
      </w:r>
      <w:r>
        <w:rPr>
          <w:rFonts w:ascii="Calibri" w:hAnsi="Calibri"/>
          <w:i/>
          <w:color w:val="auto"/>
          <w:u w:val="single"/>
        </w:rPr>
        <w:t>Källa till ekosystemtjänster</w:t>
      </w:r>
      <w:r>
        <w:rPr>
          <w:rFonts w:ascii="Calibri" w:hAnsi="Calibri"/>
          <w:i/>
          <w:color w:val="auto"/>
        </w:rPr>
        <w:t xml:space="preserve">: </w:t>
      </w:r>
      <w:r>
        <w:rPr>
          <w:rFonts w:ascii="Calibri" w:hAnsi="Calibri"/>
          <w:color w:val="auto"/>
        </w:rPr>
        <w:t xml:space="preserve">Skogar och träd bidrar direkt till livsmedelsproduktionen på gårds- och landskapsnivå och i vidare bemärkelse genom att tillhandahålla flera icke-kommersiella ekosystemtjänster som är avgörande för en </w:t>
      </w:r>
      <w:r w:rsidR="00DA2AC1">
        <w:rPr>
          <w:rFonts w:ascii="Calibri" w:hAnsi="Calibri"/>
          <w:color w:val="auto"/>
        </w:rPr>
        <w:t>tryggad livsmedelsförsörjning och nutrition</w:t>
      </w:r>
      <w:r>
        <w:rPr>
          <w:rFonts w:ascii="Calibri" w:hAnsi="Calibri"/>
          <w:color w:val="auto"/>
        </w:rPr>
        <w:t xml:space="preserve"> och hållbar utveckling på lång sikt (exempelvis vattenreglering, markskydd, näringsämnenas kretslopp, bekämpning av skadedjur samt pollinering). Skogarna står för merparten av den biologiska mångfalden, och de spelar en avgörande roll när det gäller att </w:t>
      </w:r>
      <w:r>
        <w:rPr>
          <w:rFonts w:ascii="Calibri" w:hAnsi="Calibri"/>
          <w:color w:val="auto"/>
        </w:rPr>
        <w:lastRenderedPageBreak/>
        <w:t xml:space="preserve">motverka klimatförändringarna på global nivå och bidra till klimatanpassning på gårds-, hushålls- och landskapsnivå samt på bredare front. Produktionssystem som inbegriper skogar, träd och grödor måste uttryckligen ta hänsyn till eventuell konkurrens om näringsämnen, vatten och ljus. </w:t>
      </w:r>
    </w:p>
    <w:p w14:paraId="2591C3C7" w14:textId="77777777" w:rsidR="00106601" w:rsidRPr="00117AEB" w:rsidRDefault="00106601" w:rsidP="00117AEB">
      <w:pPr>
        <w:pStyle w:val="Default"/>
        <w:spacing w:after="131"/>
        <w:rPr>
          <w:rFonts w:ascii="Calibri" w:hAnsi="Calibri" w:cs="Calibri"/>
          <w:color w:val="auto"/>
        </w:rPr>
      </w:pPr>
    </w:p>
    <w:p w14:paraId="6410689B" w14:textId="77777777" w:rsidR="00117AEB" w:rsidRPr="00117AEB" w:rsidRDefault="00117AEB" w:rsidP="00117AEB">
      <w:pPr>
        <w:pStyle w:val="Default"/>
        <w:spacing w:after="131"/>
        <w:rPr>
          <w:rFonts w:ascii="Calibri" w:hAnsi="Calibri" w:cs="Calibri"/>
          <w:color w:val="auto"/>
        </w:rPr>
      </w:pPr>
      <w:r>
        <w:rPr>
          <w:rFonts w:ascii="Calibri" w:hAnsi="Calibri"/>
          <w:color w:val="auto"/>
        </w:rPr>
        <w:t xml:space="preserve">12. </w:t>
      </w:r>
      <w:r>
        <w:rPr>
          <w:rFonts w:ascii="Calibri" w:hAnsi="Calibri"/>
          <w:i/>
          <w:color w:val="auto"/>
          <w:u w:val="single"/>
        </w:rPr>
        <w:t>Människors hälsa och välbefinnande</w:t>
      </w:r>
      <w:r>
        <w:rPr>
          <w:rFonts w:ascii="Calibri" w:hAnsi="Calibri"/>
          <w:i/>
          <w:color w:val="auto"/>
        </w:rPr>
        <w:t xml:space="preserve">: </w:t>
      </w:r>
      <w:r>
        <w:rPr>
          <w:rFonts w:ascii="Calibri" w:hAnsi="Calibri"/>
          <w:color w:val="auto"/>
        </w:rPr>
        <w:t xml:space="preserve">Skogar, trädbaserade jordbrukssystem och skogsbruk påverkar människors hälsa på många olika sätt, bland annat som en källa till livsmedel, medicinalväxter, trädbränsle, rent vatten och inkomst. Empiriska resultat tyder på att skogsmiljöer kan förbättra människors mentala hälsa och minska depression och stress. Skogar kan emellertid också hysa parasiter och sjukdomar som kan påverka människor och husdjur. De viktiga kopplingarna mellan människors, djurs och ekosystems hälsa innefattas av konceptet ”en hälsa”, som lyfter fram behovet av samarbete mellan sektorer. </w:t>
      </w:r>
    </w:p>
    <w:p w14:paraId="6489EECE" w14:textId="77777777" w:rsidR="00AB0F40" w:rsidRPr="00AB0F40" w:rsidRDefault="00117AEB" w:rsidP="00AB0F40">
      <w:pPr>
        <w:pStyle w:val="Default"/>
        <w:rPr>
          <w:rFonts w:ascii="Calibri" w:hAnsi="Calibri" w:cs="Calibri"/>
          <w:color w:val="auto"/>
        </w:rPr>
      </w:pPr>
      <w:r>
        <w:rPr>
          <w:rFonts w:ascii="Calibri" w:hAnsi="Calibri"/>
          <w:color w:val="auto"/>
        </w:rPr>
        <w:t xml:space="preserve">13. </w:t>
      </w:r>
      <w:r>
        <w:rPr>
          <w:rFonts w:ascii="Calibri" w:hAnsi="Calibri"/>
          <w:i/>
          <w:color w:val="auto"/>
          <w:u w:val="single"/>
        </w:rPr>
        <w:t>Motståndskraft och säkerhetsnät</w:t>
      </w:r>
      <w:r>
        <w:rPr>
          <w:rFonts w:ascii="Calibri" w:hAnsi="Calibri"/>
          <w:i/>
          <w:color w:val="auto"/>
        </w:rPr>
        <w:t xml:space="preserve">: </w:t>
      </w:r>
      <w:r>
        <w:rPr>
          <w:rFonts w:ascii="Calibri" w:hAnsi="Calibri"/>
          <w:color w:val="auto"/>
        </w:rPr>
        <w:t xml:space="preserve">Skogar och träd kan spela en avgörande roll när det gäller att stärka motståndskraften, vilket definieras som landskapens, samhällenas och hushållens förmåga att förebygga, motverka och hantera risk samt återhämta sig efter störningar. De bidrar därför avsevärt till stabiliteten, som är den fjärde dimensionen av </w:t>
      </w:r>
      <w:r w:rsidR="00DA2AC1">
        <w:rPr>
          <w:rFonts w:ascii="Calibri" w:hAnsi="Calibri"/>
          <w:color w:val="auto"/>
        </w:rPr>
        <w:t>tryggad livsmedelsförsörjning och nutrition</w:t>
      </w:r>
      <w:r>
        <w:rPr>
          <w:rFonts w:ascii="Calibri" w:hAnsi="Calibri"/>
          <w:color w:val="auto"/>
        </w:rPr>
        <w:t>, genom att fylla en avgörande funktion som skyddsnät under torka, under perioder med magra skördar samt i tider av kris och konflikt. Skogar och träd kan utgöra ett komplement till eller ett substitut för andra källor till livsmedel, inkomst och sysselsättning i perioder av brist. Funktionen som säkerhetsnät är ofta viktig för de mest utsatta grupperna.</w:t>
      </w:r>
    </w:p>
    <w:p w14:paraId="1A9B2F47" w14:textId="77777777" w:rsidR="00AB0F40" w:rsidRDefault="00AB0F40" w:rsidP="00AB0F40">
      <w:pPr>
        <w:pStyle w:val="Default"/>
        <w:rPr>
          <w:rFonts w:ascii="Calibri" w:hAnsi="Calibri" w:cs="Calibri"/>
          <w:color w:val="auto"/>
        </w:rPr>
      </w:pPr>
      <w:r>
        <w:rPr>
          <w:rFonts w:ascii="Calibri" w:hAnsi="Calibri"/>
          <w:color w:val="auto"/>
        </w:rPr>
        <w:t xml:space="preserve">14. Det är viktigt att notera att skogars och träds bidrag till </w:t>
      </w:r>
      <w:r w:rsidR="00DA2AC1">
        <w:rPr>
          <w:rFonts w:ascii="Calibri" w:hAnsi="Calibri"/>
          <w:color w:val="auto"/>
        </w:rPr>
        <w:t>tryggad livsmedelsförsörjning och nutrition</w:t>
      </w:r>
      <w:r>
        <w:rPr>
          <w:rFonts w:ascii="Calibri" w:hAnsi="Calibri"/>
          <w:color w:val="auto"/>
        </w:rPr>
        <w:t xml:space="preserve"> är beroende av en mängd olika interaktioner inom komplexa miljömässiga, ekonomiska och sociala system. Dessa system är ofta uppbyggda på och upprätthålls med en betydande mängd traditionell och inhemsk kunskap.</w:t>
      </w:r>
    </w:p>
    <w:p w14:paraId="4E71737C" w14:textId="77777777" w:rsidR="00AB0F40" w:rsidRPr="00AB0F40" w:rsidRDefault="00AB0F40" w:rsidP="00AB0F40">
      <w:pPr>
        <w:pStyle w:val="Default"/>
        <w:rPr>
          <w:rFonts w:ascii="Calibri" w:hAnsi="Calibri" w:cs="Calibri"/>
          <w:color w:val="auto"/>
        </w:rPr>
      </w:pPr>
    </w:p>
    <w:p w14:paraId="71683AD4" w14:textId="77777777" w:rsidR="00117AEB" w:rsidRPr="00AB0F40" w:rsidRDefault="00416502" w:rsidP="00AB0F40">
      <w:pPr>
        <w:pStyle w:val="Default"/>
        <w:rPr>
          <w:rFonts w:ascii="Calibri" w:hAnsi="Calibri" w:cs="Calibri"/>
          <w:b/>
          <w:color w:val="auto"/>
        </w:rPr>
      </w:pPr>
      <w:r>
        <w:rPr>
          <w:rFonts w:ascii="Calibri" w:hAnsi="Calibri"/>
          <w:b/>
          <w:color w:val="auto"/>
        </w:rPr>
        <w:t xml:space="preserve">Trender inom skogsbruket: </w:t>
      </w:r>
      <w:r w:rsidR="00AB0F40">
        <w:rPr>
          <w:rFonts w:ascii="Calibri" w:hAnsi="Calibri"/>
          <w:b/>
          <w:color w:val="auto"/>
        </w:rPr>
        <w:t xml:space="preserve">utmaningar och möjligheter för </w:t>
      </w:r>
      <w:r w:rsidR="00DA2AC1">
        <w:rPr>
          <w:rFonts w:ascii="Calibri" w:hAnsi="Calibri"/>
          <w:b/>
          <w:color w:val="auto"/>
        </w:rPr>
        <w:t>tryggad livsmedelsförsörjning och nutrition</w:t>
      </w:r>
    </w:p>
    <w:p w14:paraId="46A5CE9A" w14:textId="77777777" w:rsidR="00117AEB" w:rsidRPr="00117AEB" w:rsidRDefault="00117AEB" w:rsidP="00117AEB">
      <w:pPr>
        <w:pStyle w:val="Default"/>
        <w:rPr>
          <w:rFonts w:ascii="Calibri" w:hAnsi="Calibri" w:cs="Calibri"/>
          <w:color w:val="auto"/>
        </w:rPr>
      </w:pPr>
    </w:p>
    <w:p w14:paraId="61F3BFE3" w14:textId="77777777" w:rsidR="00AB0F40" w:rsidRDefault="00AB0F40" w:rsidP="00AB0F40">
      <w:pPr>
        <w:pStyle w:val="Default"/>
        <w:rPr>
          <w:rFonts w:ascii="Calibri" w:hAnsi="Calibri" w:cs="Calibri"/>
          <w:color w:val="auto"/>
        </w:rPr>
      </w:pPr>
      <w:r>
        <w:rPr>
          <w:rFonts w:ascii="Calibri" w:hAnsi="Calibri"/>
          <w:color w:val="auto"/>
        </w:rPr>
        <w:t xml:space="preserve">15. Förändringar i skogstäcke, skogstyper och skogsbruk har betydande inverkan på skogarnas och trädens bidrag till </w:t>
      </w:r>
      <w:r w:rsidR="00DA2AC1">
        <w:rPr>
          <w:rFonts w:ascii="Calibri" w:hAnsi="Calibri"/>
          <w:color w:val="auto"/>
        </w:rPr>
        <w:t>tryggad livsmedelsförsörjning och nutrition</w:t>
      </w:r>
      <w:r>
        <w:rPr>
          <w:rFonts w:ascii="Calibri" w:hAnsi="Calibri"/>
          <w:color w:val="auto"/>
        </w:rPr>
        <w:t xml:space="preserve"> på olika geografiska nivåer och inom olika tidsperspektiv. Dessa förändringar och deras drivkrafter gör det möjligt att identifiera några av utmaningarna och möjligheterna för det hållbara skogsbrukets bidrag till </w:t>
      </w:r>
      <w:r w:rsidR="00DA2AC1">
        <w:rPr>
          <w:rFonts w:ascii="Calibri" w:hAnsi="Calibri"/>
          <w:color w:val="auto"/>
        </w:rPr>
        <w:t>tryggad livsmedelsförsörjning och nutrition</w:t>
      </w:r>
      <w:r>
        <w:rPr>
          <w:rFonts w:ascii="Calibri" w:hAnsi="Calibri"/>
          <w:color w:val="auto"/>
        </w:rPr>
        <w:t>.</w:t>
      </w:r>
    </w:p>
    <w:p w14:paraId="5F154E6A" w14:textId="77777777" w:rsidR="00AB0F40" w:rsidRPr="00AB0F40" w:rsidRDefault="00AB0F40" w:rsidP="00AB0F40">
      <w:pPr>
        <w:pStyle w:val="Default"/>
        <w:rPr>
          <w:rFonts w:ascii="Calibri" w:hAnsi="Calibri" w:cs="Calibri"/>
          <w:color w:val="auto"/>
        </w:rPr>
      </w:pPr>
    </w:p>
    <w:p w14:paraId="4F6E2860" w14:textId="77777777" w:rsidR="00117AEB" w:rsidRDefault="00AB0F40" w:rsidP="00AB0F40">
      <w:pPr>
        <w:pStyle w:val="Default"/>
        <w:rPr>
          <w:rFonts w:ascii="Calibri" w:hAnsi="Calibri" w:cs="Calibri"/>
          <w:color w:val="auto"/>
        </w:rPr>
      </w:pPr>
      <w:r>
        <w:rPr>
          <w:rFonts w:ascii="Calibri" w:hAnsi="Calibri"/>
          <w:color w:val="auto"/>
        </w:rPr>
        <w:t>16. År 2015 täcktes nästan 4 miljarder hektar världen över av skog (30,6 procent av jordens landyta). Trots att avskogning fortfarande pågår i relativt hög grad, i synnerhet i tropikerna, har den globala nettominskningen av skog saktat ned de senaste 20 åren. I den globala skogsresursutvärderingen presenteras för första gången global statistik för utarmningen av skog, utifrån en delvis minskning av krontäckningen</w:t>
      </w:r>
      <w:r>
        <w:rPr>
          <w:rStyle w:val="Fotnotsreferens"/>
          <w:rFonts w:ascii="Calibri" w:hAnsi="Calibri"/>
          <w:color w:val="auto"/>
        </w:rPr>
        <w:footnoteReference w:id="3"/>
      </w:r>
      <w:r>
        <w:rPr>
          <w:rFonts w:ascii="Calibri" w:hAnsi="Calibri"/>
          <w:color w:val="auto"/>
        </w:rPr>
        <w:t>. I tropikerna uppskattas den yta som drabbats av delvis minskning av krontäckningen vara 6,5 gånger större än den yta som avskogats sedan 1990.</w:t>
      </w:r>
    </w:p>
    <w:p w14:paraId="500FCBFB" w14:textId="77777777" w:rsidR="00AB0F40" w:rsidRDefault="00AB0F40" w:rsidP="00AB0F40">
      <w:pPr>
        <w:pStyle w:val="Default"/>
        <w:rPr>
          <w:rFonts w:ascii="Calibri" w:hAnsi="Calibri" w:cs="Calibri"/>
          <w:color w:val="auto"/>
        </w:rPr>
      </w:pPr>
    </w:p>
    <w:p w14:paraId="0911459D" w14:textId="77777777" w:rsidR="00AB0F40" w:rsidRDefault="00AB0F40" w:rsidP="00AB0F40">
      <w:pPr>
        <w:pStyle w:val="Default"/>
        <w:rPr>
          <w:rFonts w:ascii="Calibri" w:hAnsi="Calibri" w:cs="Calibri"/>
          <w:color w:val="auto"/>
        </w:rPr>
      </w:pPr>
      <w:r>
        <w:rPr>
          <w:rFonts w:ascii="Calibri" w:hAnsi="Calibri"/>
          <w:color w:val="auto"/>
        </w:rPr>
        <w:lastRenderedPageBreak/>
        <w:t>17. Den samlade minskningen av den totala skogsytan är resultatet av motsatta trender för olika skogstyper och olika regioner. Mellan 1990 och 2015 har naturskogens yta minskat stadigt i de flesta regioner, vilket omfattar både primära och sekundära naturskogar, medan den planterade skogen har ökat kraftigt. Minskningen av primär naturskog är särskilt oroväckande, eftersom dessa skogar utgör ett oersättligt bidrag till den biologiska mångfalden. Planterade skogar blir allt viktigare, inte bara i fråga om ytan, som har ökat från 4 till 7 procent mellan 1990 och 2015, utan också när det gäller produktionen. År 2012 kom 46,3 procent av det industriella rundvirket från planterade skogar. Planterade skogar är också ett sätt att återställa skadad mark och tillhandahålla ekosystemtjänster som minskad erosion och skydd mot översvämningar. Med tanke på den ökande efterfrågan på virke kan planterad skog bidra till att minska påfrestningarna på naturskogarna.</w:t>
      </w:r>
    </w:p>
    <w:p w14:paraId="76A83AF3" w14:textId="77777777" w:rsidR="00AB0F40" w:rsidRPr="00AB0F40" w:rsidRDefault="00AB0F40" w:rsidP="00AB0F40">
      <w:pPr>
        <w:pStyle w:val="Default"/>
        <w:rPr>
          <w:rFonts w:ascii="Calibri" w:hAnsi="Calibri" w:cs="Calibri"/>
          <w:color w:val="auto"/>
        </w:rPr>
      </w:pPr>
    </w:p>
    <w:p w14:paraId="2EEA6ED8" w14:textId="77777777" w:rsidR="00AB0F40" w:rsidRDefault="00AB0F40" w:rsidP="00AB0F40">
      <w:pPr>
        <w:pStyle w:val="Default"/>
        <w:rPr>
          <w:rFonts w:ascii="Calibri" w:hAnsi="Calibri" w:cs="Calibri"/>
          <w:color w:val="auto"/>
        </w:rPr>
      </w:pPr>
      <w:r>
        <w:rPr>
          <w:rFonts w:ascii="Calibri" w:hAnsi="Calibri"/>
          <w:color w:val="auto"/>
        </w:rPr>
        <w:t xml:space="preserve">18. Avskogningen och utarmningen av skog hotar skogsberoende folkgruppers inkomst, försörjning och livsstil. De hotar också tillgången till ekosystemtjänster som är avgörande för </w:t>
      </w:r>
      <w:r w:rsidR="00DA2AC1">
        <w:rPr>
          <w:rFonts w:ascii="Calibri" w:hAnsi="Calibri"/>
          <w:color w:val="auto"/>
        </w:rPr>
        <w:t>tryggad livsmedelsförsörjning och nutrition</w:t>
      </w:r>
      <w:r>
        <w:rPr>
          <w:rFonts w:ascii="Calibri" w:hAnsi="Calibri"/>
          <w:color w:val="auto"/>
        </w:rPr>
        <w:t xml:space="preserve"> och hållbar utveckling på lång sikt. Att avverka skog för att utöka jordbruket anses ibland ge större möjligheter att förbättra välfärden. De omedelbara fördelarna kan emellertid leda till utarmning av naturresurser, ensidigare kost, sämre försörjningsmöjligheter och en försämrad livsstil på sikt. Avskogning och utarmning av skog som leder till fragmenterade naturmiljöer kan också påverka människors hälsa genom att öka risken för spridning av skadedjur och sjukdomar.</w:t>
      </w:r>
    </w:p>
    <w:p w14:paraId="72AB23F7" w14:textId="77777777" w:rsidR="00AB0F40" w:rsidRDefault="00AB0F40" w:rsidP="00AB0F40">
      <w:pPr>
        <w:pStyle w:val="Default"/>
        <w:rPr>
          <w:rFonts w:ascii="Calibri" w:hAnsi="Calibri" w:cs="Calibri"/>
          <w:color w:val="auto"/>
        </w:rPr>
      </w:pPr>
    </w:p>
    <w:p w14:paraId="2A8FB038" w14:textId="77777777" w:rsidR="00AB0F40" w:rsidRDefault="00AB0F40" w:rsidP="00AB0F40">
      <w:pPr>
        <w:pStyle w:val="Default"/>
        <w:rPr>
          <w:rFonts w:ascii="Calibri" w:hAnsi="Calibri" w:cs="Calibri"/>
          <w:color w:val="auto"/>
        </w:rPr>
      </w:pPr>
      <w:r>
        <w:rPr>
          <w:rFonts w:ascii="Calibri" w:hAnsi="Calibri"/>
          <w:color w:val="auto"/>
        </w:rPr>
        <w:t>19. Förändringar i skogstäcke, skogstyper och skogsanvändning orsakas av flera samspelande faktorer på lokal och global nivå: efterfrågan på mat, foder, trä och energi ökar i takt med att folkmängden och inkomsterna ökar, samtidigt som det blir allt viktigare att skydda den biologiska mångfalden, bevara kollagren och upprätthålla vatten- och markskyddet. Förändringarna påverkas också av de styrningssystem som tar itu med och hanterar dessa behov.</w:t>
      </w:r>
    </w:p>
    <w:p w14:paraId="656826FD" w14:textId="77777777" w:rsidR="00AB0F40" w:rsidRPr="00AB0F40" w:rsidRDefault="00AB0F40" w:rsidP="00AB0F40">
      <w:pPr>
        <w:pStyle w:val="Default"/>
        <w:rPr>
          <w:rFonts w:ascii="Calibri" w:hAnsi="Calibri" w:cs="Calibri"/>
          <w:color w:val="auto"/>
        </w:rPr>
      </w:pPr>
    </w:p>
    <w:p w14:paraId="67AC9F29" w14:textId="77777777" w:rsidR="00AB0F40" w:rsidRDefault="00AB0F40" w:rsidP="00AB0F40">
      <w:pPr>
        <w:pStyle w:val="Default"/>
        <w:rPr>
          <w:rFonts w:ascii="Calibri" w:hAnsi="Calibri" w:cs="Calibri"/>
          <w:color w:val="auto"/>
        </w:rPr>
      </w:pPr>
      <w:r>
        <w:rPr>
          <w:rFonts w:ascii="Calibri" w:hAnsi="Calibri"/>
          <w:color w:val="auto"/>
        </w:rPr>
        <w:t>20. Mot bakgrund av att den globala befolkningsmängden och ekonomiska tillväxten ökar väntas efterfrågan på mat, foder, trä och bioenergi öka även fortsättningsvis. I synnerhet beräknas efterfrågan på trä och fiber fördubblas mellan 2005 och 2030.</w:t>
      </w:r>
    </w:p>
    <w:p w14:paraId="6462CD45" w14:textId="77777777" w:rsidR="00AB0F40" w:rsidRDefault="00AB0F40" w:rsidP="00AB0F40">
      <w:pPr>
        <w:pStyle w:val="Default"/>
        <w:rPr>
          <w:rFonts w:ascii="Calibri" w:hAnsi="Calibri" w:cs="Calibri"/>
          <w:color w:val="auto"/>
        </w:rPr>
      </w:pPr>
    </w:p>
    <w:p w14:paraId="3D69C70E" w14:textId="77777777" w:rsidR="009C6BEE" w:rsidRDefault="00AB0F40" w:rsidP="00AB0F40">
      <w:pPr>
        <w:pStyle w:val="Default"/>
        <w:rPr>
          <w:rFonts w:ascii="Calibri" w:hAnsi="Calibri" w:cs="Calibri"/>
          <w:color w:val="auto"/>
        </w:rPr>
      </w:pPr>
      <w:r>
        <w:rPr>
          <w:rFonts w:ascii="Calibri" w:hAnsi="Calibri"/>
          <w:color w:val="auto"/>
        </w:rPr>
        <w:t>21. Skogarna behöver nu anpassas till klimatförändringarna och förväntas bidra till att motverka dem. Utarmningen av mark ökar efterfrågan på jordbruksmark, vilket medför ytterligare påfrestningar för skogarna, även om det också skapar möjligheter till återbeskogning och beskogning. Samtidigt ökar medvetenheten om skogarnas funktion när det gäller att skydda mark, vatten och biologisk mångfald och bidra till att motverka klimatförändringarna. Dessa trender ökar konkurrensen om mark. De ökar också konkurrensen mellan olika typer av skogsanvändning för miljöskydd, virkes- och träproduktion, livsmedel och andra skogsprodukter som inte är trä, varav samtliga påverkar den tryggade livsmedels- och näringsförsörjningen. Det behövs konsekventa avvägningar på olika nivåer, från lokal till global nivå, för att kunna hantera konkurrensen om mark och ta hänsyn till jordbrukets och skogarnas behov samtidigt som man beaktar miljömässiga och klimatrelaterade problem. För att utforma och tillämpa lämpliga åtgärder och mekanismer behöver man gå utöver den konflikt som uppstår mellan de motsatta synsätten ”land-sharing” och ”land-sparing”.</w:t>
      </w:r>
    </w:p>
    <w:p w14:paraId="1E0628A6" w14:textId="77777777" w:rsidR="002D185B" w:rsidRDefault="002D185B" w:rsidP="00AB0F40">
      <w:pPr>
        <w:pStyle w:val="Default"/>
        <w:rPr>
          <w:rFonts w:ascii="Calibri" w:hAnsi="Calibri" w:cs="Calibri"/>
          <w:color w:val="auto"/>
        </w:rPr>
      </w:pPr>
    </w:p>
    <w:p w14:paraId="6D52237F" w14:textId="77777777" w:rsidR="002D185B" w:rsidRDefault="002D185B" w:rsidP="00AB0F40">
      <w:pPr>
        <w:pStyle w:val="Default"/>
        <w:rPr>
          <w:rFonts w:ascii="Calibri" w:hAnsi="Calibri" w:cs="Calibri"/>
          <w:color w:val="auto"/>
        </w:rPr>
      </w:pPr>
      <w:r>
        <w:rPr>
          <w:rFonts w:ascii="Calibri" w:hAnsi="Calibri"/>
          <w:color w:val="auto"/>
        </w:rPr>
        <w:lastRenderedPageBreak/>
        <w:t xml:space="preserve">22. De växande behoven i fråga om mark, skogar och träd skapar nya utmaningar och möjligheter för hur de kan bidra till </w:t>
      </w:r>
      <w:r w:rsidR="00DA2AC1">
        <w:rPr>
          <w:rFonts w:ascii="Calibri" w:hAnsi="Calibri"/>
          <w:color w:val="auto"/>
        </w:rPr>
        <w:t>tryggad livsmedelsförsörjning och nutrition</w:t>
      </w:r>
      <w:r>
        <w:rPr>
          <w:rFonts w:ascii="Calibri" w:hAnsi="Calibri"/>
          <w:color w:val="auto"/>
        </w:rPr>
        <w:t xml:space="preserve">. Detta kan äventyra några av skogarnas bidrag till </w:t>
      </w:r>
      <w:r w:rsidR="00DA2AC1">
        <w:rPr>
          <w:rFonts w:ascii="Calibri" w:hAnsi="Calibri"/>
          <w:color w:val="auto"/>
        </w:rPr>
        <w:t>tryggad livsmedelsförsörjning och nutrition</w:t>
      </w:r>
      <w:r>
        <w:rPr>
          <w:rFonts w:ascii="Calibri" w:hAnsi="Calibri"/>
          <w:color w:val="auto"/>
        </w:rPr>
        <w:t xml:space="preserve">, i synnerhet när bidragen är mindre synliga eller gäller de mest marginaliserade och utsatta grupperna. Samtidigt kan det ge ytterligare skäl att skydda och investera i skogar och skapa nya arbetstillfällen och möjligheter till hållbar utveckling. Detta förutsätter en större förståelse för förändringsaktörer och dynamiken i landskap som utvecklas, exempelvis sekundära naturskogar, mosaikliknande landskap och skogsjordbrukssystem. Det krävs också större kunskap om hur allt detta påverkar </w:t>
      </w:r>
      <w:r w:rsidR="00DA2AC1">
        <w:rPr>
          <w:rFonts w:ascii="Calibri" w:hAnsi="Calibri"/>
          <w:color w:val="auto"/>
        </w:rPr>
        <w:t>tryggad livsmedelsförsörjning och nutrition</w:t>
      </w:r>
      <w:r>
        <w:rPr>
          <w:rFonts w:ascii="Calibri" w:hAnsi="Calibri"/>
          <w:color w:val="auto"/>
        </w:rPr>
        <w:t xml:space="preserve"> och hållbar utveckling. Vidare behövs ett starkare stöd för att återställa skog i områden som klassificeras som annan trädbevuxen mark.</w:t>
      </w:r>
    </w:p>
    <w:p w14:paraId="0328AC03" w14:textId="77777777" w:rsidR="002D185B" w:rsidRDefault="002D185B" w:rsidP="00AB0F40">
      <w:pPr>
        <w:pStyle w:val="Default"/>
        <w:rPr>
          <w:rFonts w:ascii="Calibri" w:hAnsi="Calibri" w:cs="Calibri"/>
          <w:color w:val="auto"/>
        </w:rPr>
      </w:pPr>
    </w:p>
    <w:p w14:paraId="4A5B9FB8" w14:textId="77777777" w:rsidR="002D185B" w:rsidRDefault="002D185B" w:rsidP="00AB0F40">
      <w:pPr>
        <w:pStyle w:val="Default"/>
        <w:rPr>
          <w:rFonts w:ascii="Calibri" w:hAnsi="Calibri" w:cs="Calibri"/>
          <w:color w:val="auto"/>
        </w:rPr>
      </w:pPr>
    </w:p>
    <w:p w14:paraId="380B2B44" w14:textId="77777777" w:rsidR="00117AEB" w:rsidRDefault="002D185B" w:rsidP="002D185B">
      <w:pPr>
        <w:pStyle w:val="Default"/>
        <w:rPr>
          <w:rFonts w:ascii="Calibri" w:hAnsi="Calibri" w:cs="Calibri"/>
          <w:b/>
          <w:color w:val="auto"/>
        </w:rPr>
      </w:pPr>
      <w:r>
        <w:rPr>
          <w:rFonts w:ascii="Calibri" w:hAnsi="Calibri"/>
          <w:b/>
          <w:color w:val="auto"/>
        </w:rPr>
        <w:t xml:space="preserve">Hur kan skogarnas och trädens bidrag till </w:t>
      </w:r>
      <w:r w:rsidR="00DA2AC1">
        <w:rPr>
          <w:rFonts w:ascii="Calibri" w:hAnsi="Calibri"/>
          <w:b/>
          <w:color w:val="auto"/>
        </w:rPr>
        <w:t>tryggad livsmedelsförsörjning och nutrition</w:t>
      </w:r>
      <w:r>
        <w:rPr>
          <w:rFonts w:ascii="Calibri" w:hAnsi="Calibri"/>
          <w:b/>
          <w:color w:val="auto"/>
        </w:rPr>
        <w:t xml:space="preserve"> optimeras på ett hållbart sätt? </w:t>
      </w:r>
    </w:p>
    <w:p w14:paraId="1F879CE2" w14:textId="77777777" w:rsidR="002D185B" w:rsidRDefault="002D185B" w:rsidP="002D185B">
      <w:pPr>
        <w:pStyle w:val="Default"/>
        <w:rPr>
          <w:rFonts w:ascii="Calibri" w:hAnsi="Calibri" w:cs="Calibri"/>
          <w:color w:val="auto"/>
        </w:rPr>
      </w:pPr>
      <w:r>
        <w:rPr>
          <w:rFonts w:ascii="Calibri" w:hAnsi="Calibri"/>
          <w:color w:val="auto"/>
        </w:rPr>
        <w:t xml:space="preserve">23. När det gäller skogarnas och trädens bidrag till </w:t>
      </w:r>
      <w:r w:rsidR="00DA2AC1">
        <w:rPr>
          <w:rFonts w:ascii="Calibri" w:hAnsi="Calibri"/>
          <w:color w:val="auto"/>
        </w:rPr>
        <w:t>tryggad livsmedelsförsörjning och nutrition</w:t>
      </w:r>
      <w:r>
        <w:rPr>
          <w:rFonts w:ascii="Calibri" w:hAnsi="Calibri"/>
          <w:color w:val="auto"/>
        </w:rPr>
        <w:t xml:space="preserve"> finns det möjligheter till samverkan och utbyte mellan olika nivåer, från lokal till global nivå och på både kort och lång sikt. Det hållbara skogsbruket för </w:t>
      </w:r>
      <w:r w:rsidR="00DA2AC1">
        <w:rPr>
          <w:rFonts w:ascii="Calibri" w:hAnsi="Calibri"/>
          <w:color w:val="auto"/>
        </w:rPr>
        <w:t>tryggad livsmedelsförsörjning och nutrition</w:t>
      </w:r>
      <w:r>
        <w:rPr>
          <w:rFonts w:ascii="Calibri" w:hAnsi="Calibri"/>
          <w:color w:val="auto"/>
        </w:rPr>
        <w:t xml:space="preserve"> måste därför till fullo beakta och innefatta följande faktorer: skogarnas och trädens många användningsområden, varierande och ibland oförenliga intressen samt olika intressenters behov och rättigheter, med särskild hänsyn till mer utsatta och marginaliserade grupper. För detta behövs styrningsmekanismer på olika geografiska nivåer och med olika tidsperspektiv i form av internationella instrument, nationell politik och lokala åtgärder.</w:t>
      </w:r>
    </w:p>
    <w:p w14:paraId="309A4106" w14:textId="77777777" w:rsidR="002D185B" w:rsidRDefault="002D185B" w:rsidP="002D185B">
      <w:pPr>
        <w:pStyle w:val="Default"/>
        <w:rPr>
          <w:rFonts w:ascii="Calibri" w:hAnsi="Calibri" w:cs="Calibri"/>
          <w:color w:val="auto"/>
        </w:rPr>
      </w:pPr>
    </w:p>
    <w:p w14:paraId="28BD627D" w14:textId="77777777" w:rsidR="002D185B" w:rsidRDefault="002D185B" w:rsidP="002D185B">
      <w:pPr>
        <w:pStyle w:val="Default"/>
        <w:rPr>
          <w:rFonts w:ascii="Calibri" w:hAnsi="Calibri" w:cs="Calibri"/>
          <w:color w:val="auto"/>
        </w:rPr>
      </w:pPr>
      <w:r>
        <w:rPr>
          <w:rFonts w:ascii="Calibri" w:hAnsi="Calibri"/>
          <w:color w:val="auto"/>
        </w:rPr>
        <w:t xml:space="preserve">24. I den globala skogsresursutvärderingen identifieras en uppsättning kriterier som underlättar för ett hållbart skogsbruk: permanenta skogsområden, rättsliga ramar, skogsbruksplaner, engagemang från intressenter samt informations-, övervaknings- och rapporteringssystem. Enligt den globala skogsresursutvärderingen var samtliga kriterier uppfyllda för endast hälften av de permanenta skogsområdenas samlade yta på 2,2 miljarder hektar under 2015. Andelen områden som omfattas av en skogsbruksplan har emellertid ökat kraftigt de senaste decennierna. Under 2015 rapporterade 167 länder att de hade skogsbruksplaner, och dessa planer omfattar mer än hälften av deras skogsområden (cirka 2,1 miljarder hektar). Det huvudsakliga målet med en skogsbruksplan (oavsett om det gäller bevarande av primär naturskog och skyddade områden eller träproduktion i planterade skogar) kan vara oförenligt med rätten att få åtkomst till och nyttja skogsresurser. Detta kan försvåra </w:t>
      </w:r>
      <w:r w:rsidR="00DA2AC1">
        <w:rPr>
          <w:rFonts w:ascii="Calibri" w:hAnsi="Calibri"/>
          <w:color w:val="auto"/>
        </w:rPr>
        <w:t>tryggad livsmedelsförsörjning och nutrition</w:t>
      </w:r>
      <w:r>
        <w:rPr>
          <w:rFonts w:ascii="Calibri" w:hAnsi="Calibri"/>
          <w:color w:val="auto"/>
        </w:rPr>
        <w:t xml:space="preserve"> för skogsberoende personer och folkgrupper, exempelvis urinvånare. De rättsliga ramar som reglerar dessa rättigheter varierar kraftigt mellan olika länder.</w:t>
      </w:r>
    </w:p>
    <w:p w14:paraId="0478310D" w14:textId="77777777" w:rsidR="00117AEB" w:rsidRDefault="00117AEB" w:rsidP="00117AEB">
      <w:pPr>
        <w:pStyle w:val="Default"/>
        <w:rPr>
          <w:rFonts w:ascii="Calibri" w:hAnsi="Calibri" w:cs="Calibri"/>
          <w:color w:val="auto"/>
        </w:rPr>
      </w:pPr>
    </w:p>
    <w:p w14:paraId="11FE78D2" w14:textId="77777777" w:rsidR="00117AEB" w:rsidRDefault="00117AEB" w:rsidP="00117AEB">
      <w:pPr>
        <w:pStyle w:val="Default"/>
        <w:rPr>
          <w:rFonts w:ascii="Calibri" w:hAnsi="Calibri" w:cs="Calibri"/>
          <w:color w:val="auto"/>
        </w:rPr>
      </w:pPr>
      <w:r>
        <w:rPr>
          <w:rFonts w:ascii="Calibri" w:hAnsi="Calibri"/>
          <w:color w:val="auto"/>
        </w:rPr>
        <w:t xml:space="preserve">25. Det finns ett flertal internationella fördrag och standarder som påverkar hur skogar förvaltas. Vissa av dem fokuserar på skogsförvaltningens miljödimensioner, exempelvis de tre Riokonventionerna, Förenta nationernas ramkonvention om klimatförändringar (UNFCCC), Konventionen om biologisk mångfald (CBD) och Förenta nationernas konvention om bekämpning av ökenspridning (UNCCD). Andra fördrag är kopplade till mänskliga rättigheter, i synnerhet rätten att få tillräckligt med mat och näring. En tredje grupp internationella instrument är direkt kopplad till skogsförvaltning, exempelvis FN:s </w:t>
      </w:r>
      <w:r>
        <w:rPr>
          <w:rFonts w:ascii="Calibri" w:hAnsi="Calibri"/>
          <w:color w:val="auto"/>
        </w:rPr>
        <w:lastRenderedPageBreak/>
        <w:t>skogsprinciper från 1992</w:t>
      </w:r>
      <w:r>
        <w:rPr>
          <w:rStyle w:val="Fotnotsreferens"/>
          <w:rFonts w:ascii="Calibri" w:hAnsi="Calibri"/>
          <w:color w:val="auto"/>
        </w:rPr>
        <w:footnoteReference w:id="4"/>
      </w:r>
      <w:r>
        <w:rPr>
          <w:rFonts w:ascii="Calibri" w:hAnsi="Calibri"/>
          <w:color w:val="auto"/>
        </w:rPr>
        <w:t xml:space="preserve"> och de frivilliga riktlinjerna för ansvarsfull förvaltning av markrättigheter, fiske och skog i förhållande till en nationell tryggad livsmedelsförsörjning. </w:t>
      </w:r>
    </w:p>
    <w:p w14:paraId="6A6DD37F" w14:textId="77777777" w:rsidR="00117AEB" w:rsidRDefault="00117AEB" w:rsidP="00117AEB">
      <w:pPr>
        <w:pStyle w:val="Default"/>
        <w:rPr>
          <w:rFonts w:ascii="Calibri" w:hAnsi="Calibri" w:cs="Calibri"/>
          <w:color w:val="auto"/>
        </w:rPr>
      </w:pPr>
    </w:p>
    <w:p w14:paraId="1257ACB8" w14:textId="77777777" w:rsidR="00117AEB" w:rsidRPr="00117AEB" w:rsidRDefault="00117AEB" w:rsidP="00117AEB">
      <w:pPr>
        <w:pStyle w:val="Default"/>
        <w:rPr>
          <w:rFonts w:ascii="Calibri" w:hAnsi="Calibri" w:cs="Calibri"/>
          <w:color w:val="auto"/>
        </w:rPr>
      </w:pPr>
      <w:r>
        <w:rPr>
          <w:rFonts w:ascii="Calibri" w:hAnsi="Calibri"/>
          <w:color w:val="auto"/>
        </w:rPr>
        <w:t xml:space="preserve">26. Det finns ett stigande intresse för marknadsbaserade instrument som erkänner och värdesätter skogarnas olika bidrag, i synnerhet när det gäller miljöfrågor. Några exempel är koldioxidkrediter och andra betalningar för miljötjänster, certifiering och grön upphandling. Skogscertifiering fyller en viktig funktion när det gäller att bedöma och övervaka det hållbara skogsbruket på ett oberoende sätt. De två främsta internationella certifieringssystemen (Forest Stewardwhip Council och Programme for the Endorsement of Forest Certification, som infördes i slutet av 1990-talet) täckte 438 miljoner hektar 2014 (varav 90 procent ligger i boreala och tempererade klimatzoner). Dessutom finns frivilliga program, normer och standarder för grönt byggande som främjar användandet av lagliga och hållbart avverkade träprodukter. Med sådana instrument går det att koppla skogsbruket till personer som konsumerar skogsprodukter från andra delar av världen genom att göra det möjligt för dem att betala för miljöpåverkan. Däremot kan de inte alltid helt integrera frågor kopplade till </w:t>
      </w:r>
      <w:r w:rsidR="00DA2AC1">
        <w:rPr>
          <w:rFonts w:ascii="Calibri" w:hAnsi="Calibri"/>
          <w:color w:val="auto"/>
        </w:rPr>
        <w:t>tryggad livsmedelsförsörjning och nutrition</w:t>
      </w:r>
      <w:r>
        <w:rPr>
          <w:rFonts w:ascii="Calibri" w:hAnsi="Calibri"/>
          <w:color w:val="auto"/>
        </w:rPr>
        <w:t xml:space="preserve"> eller lokala, skogsberoende människors och folkgruppers behov.</w:t>
      </w:r>
    </w:p>
    <w:p w14:paraId="4889D2CE" w14:textId="77777777" w:rsidR="00117AEB" w:rsidRDefault="00117AEB" w:rsidP="00117AEB">
      <w:pPr>
        <w:pStyle w:val="Default"/>
        <w:rPr>
          <w:rFonts w:ascii="Calibri" w:hAnsi="Calibri" w:cs="Calibri"/>
          <w:color w:val="auto"/>
        </w:rPr>
      </w:pPr>
    </w:p>
    <w:p w14:paraId="6A68F902" w14:textId="77777777" w:rsidR="00117AEB" w:rsidRPr="00117AEB" w:rsidRDefault="00117AEB" w:rsidP="00117AEB">
      <w:pPr>
        <w:pStyle w:val="Default"/>
        <w:rPr>
          <w:rFonts w:ascii="Calibri" w:hAnsi="Calibri" w:cs="Calibri"/>
          <w:color w:val="auto"/>
        </w:rPr>
      </w:pPr>
      <w:r>
        <w:rPr>
          <w:rFonts w:ascii="Calibri" w:hAnsi="Calibri"/>
          <w:color w:val="auto"/>
        </w:rPr>
        <w:t xml:space="preserve">27. Ett hållbart skogsbruk för </w:t>
      </w:r>
      <w:r w:rsidR="00DA2AC1">
        <w:rPr>
          <w:rFonts w:ascii="Calibri" w:hAnsi="Calibri"/>
          <w:color w:val="auto"/>
        </w:rPr>
        <w:t>tryggad livsmedelsförsörjning och nutrition</w:t>
      </w:r>
      <w:r>
        <w:rPr>
          <w:rFonts w:ascii="Calibri" w:hAnsi="Calibri"/>
          <w:color w:val="auto"/>
        </w:rPr>
        <w:t xml:space="preserve"> kräver således integrerade, innovativa och inkluderande styrningssystem för flera sektorer och på flera geografiska nivåer med flera olika tidsperspektiv. På så sätt kan man se till att alla berörda intressenter och grupper blir fullt delaktiga, i synnerhet kvinnor samt utsatta och marginaliserade grupper, exempelvis urinvånare och skogsberoende folkgrupper. Framför allt måste lämpliga åtgärder utformas på landskapsnivå, där utmaningen är att optimera den konkreta samexistensen mellan städer, jordbruk, skogar och andra naturområden och bättre integrera frågor som rör </w:t>
      </w:r>
      <w:r w:rsidR="00DA2AC1">
        <w:rPr>
          <w:rFonts w:ascii="Calibri" w:hAnsi="Calibri"/>
          <w:color w:val="auto"/>
        </w:rPr>
        <w:t>tryggad livsmedelsförsörjning och nutrition</w:t>
      </w:r>
      <w:r>
        <w:rPr>
          <w:rFonts w:ascii="Calibri" w:hAnsi="Calibri"/>
          <w:color w:val="auto"/>
        </w:rPr>
        <w:t xml:space="preserve"> inom skogsbruket.</w:t>
      </w:r>
    </w:p>
    <w:p w14:paraId="5825A934" w14:textId="77777777" w:rsidR="00117AEB" w:rsidRDefault="00117AEB" w:rsidP="00117AEB">
      <w:pPr>
        <w:pStyle w:val="Default"/>
        <w:rPr>
          <w:rFonts w:ascii="Calibri" w:hAnsi="Calibri" w:cs="Calibri"/>
          <w:color w:val="auto"/>
        </w:rPr>
      </w:pPr>
    </w:p>
    <w:p w14:paraId="37D903D0" w14:textId="77777777" w:rsidR="00117AEB" w:rsidRPr="00117AEB" w:rsidRDefault="00117AEB" w:rsidP="00117AEB">
      <w:pPr>
        <w:pStyle w:val="Default"/>
        <w:rPr>
          <w:rFonts w:ascii="Calibri" w:hAnsi="Calibri" w:cs="Calibri"/>
          <w:color w:val="auto"/>
        </w:rPr>
      </w:pPr>
      <w:r>
        <w:rPr>
          <w:rFonts w:ascii="Calibri" w:hAnsi="Calibri"/>
          <w:color w:val="auto"/>
        </w:rPr>
        <w:t>28. Om lokalsamhällens, skogsberoende folkgruppers och urinvånares rätt att få tillräckligt med mat ska kunna genomdrivas måste deras rätt att bruka mark och skog säkerställas. Skogsbaserade varor och tjänster är också avgörande för genomdrivandet av människors sociala, ekonomiska och kulturella rättigheter världen över. Mot denna bakgrund bör skogsrelaterade lagar, politiska initiativ och insatser inte inkräkta på dessa rättigheter, utan tvärtom förbättra de människorättsliga förhållandena och prioritera de mest utsatta grupperna för att uppnå jämlikhet i verkligheten, inte bara på pappret. Sådana processer bör genomföras med respekt för de människorättsliga principerna om icke-diskriminering och jämlikhet, öppenhet och tillgång till information, inkludering, ökad delaktighet, laglighet och ansvarsskyldighet.</w:t>
      </w:r>
    </w:p>
    <w:p w14:paraId="1B7406D3" w14:textId="77777777" w:rsidR="00117AEB" w:rsidRPr="00117AEB" w:rsidRDefault="00117AEB" w:rsidP="00117AEB">
      <w:pPr>
        <w:pStyle w:val="Default"/>
        <w:rPr>
          <w:rFonts w:ascii="Calibri" w:hAnsi="Calibri" w:cs="Calibri"/>
          <w:color w:val="auto"/>
        </w:rPr>
      </w:pPr>
      <w:r>
        <w:rPr>
          <w:rFonts w:ascii="Calibri" w:hAnsi="Calibri"/>
          <w:color w:val="auto"/>
        </w:rPr>
        <w:t xml:space="preserve"> </w:t>
      </w:r>
    </w:p>
    <w:p w14:paraId="4D369256" w14:textId="77777777" w:rsidR="00117AEB" w:rsidRPr="00117AEB" w:rsidRDefault="00117AEB" w:rsidP="00117AEB">
      <w:pPr>
        <w:rPr>
          <w:rFonts w:ascii="Calibri" w:hAnsi="Calibri" w:cs="Calibri"/>
          <w:sz w:val="24"/>
          <w:szCs w:val="24"/>
        </w:rPr>
      </w:pPr>
    </w:p>
    <w:sectPr w:rsidR="00117AEB" w:rsidRPr="00117AEB" w:rsidSect="0093335A">
      <w:headerReference w:type="default" r:id="rId15"/>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851D3" w14:textId="77777777" w:rsidR="008210DD" w:rsidRDefault="008210DD" w:rsidP="00A87A54">
      <w:pPr>
        <w:spacing w:after="0" w:line="240" w:lineRule="auto"/>
      </w:pPr>
      <w:r>
        <w:separator/>
      </w:r>
    </w:p>
  </w:endnote>
  <w:endnote w:type="continuationSeparator" w:id="0">
    <w:p w14:paraId="1A54036E" w14:textId="77777777" w:rsidR="008210DD" w:rsidRDefault="008210D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8C43C" w14:textId="77777777" w:rsidR="008210DD" w:rsidRDefault="008210DD" w:rsidP="00A87A54">
      <w:pPr>
        <w:spacing w:after="0" w:line="240" w:lineRule="auto"/>
      </w:pPr>
      <w:r>
        <w:separator/>
      </w:r>
    </w:p>
  </w:footnote>
  <w:footnote w:type="continuationSeparator" w:id="0">
    <w:p w14:paraId="34FAA585" w14:textId="77777777" w:rsidR="008210DD" w:rsidRDefault="008210DD" w:rsidP="00A87A54">
      <w:pPr>
        <w:spacing w:after="0" w:line="240" w:lineRule="auto"/>
      </w:pPr>
      <w:r>
        <w:continuationSeparator/>
      </w:r>
    </w:p>
  </w:footnote>
  <w:footnote w:id="1">
    <w:p w14:paraId="2BD437AD" w14:textId="77777777" w:rsidR="00106601" w:rsidRPr="00416502" w:rsidRDefault="00106601">
      <w:pPr>
        <w:pStyle w:val="Fotnotstext"/>
      </w:pPr>
      <w:r>
        <w:rPr>
          <w:rStyle w:val="Fotnotsreferens"/>
        </w:rPr>
        <w:footnoteRef/>
      </w:r>
      <w:r>
        <w:t xml:space="preserve"> Skogens utvecklingskurva från naturskog till jordbruk och återbeskogning illustrerar skogarnas utveckling genom ett spektrum av bruksintensitet mellan de olika skogstyperna. Kurvan illustrerar inte bara skogarnas utveckling över tid, utan beskriver också variationer i utbredning mellan olika landskap vid samma tidpunkt.</w:t>
      </w:r>
    </w:p>
  </w:footnote>
  <w:footnote w:id="2">
    <w:p w14:paraId="0768B387" w14:textId="77777777" w:rsidR="00106601" w:rsidRPr="00416502" w:rsidRDefault="00106601">
      <w:pPr>
        <w:pStyle w:val="Fotnotstext"/>
      </w:pPr>
      <w:r>
        <w:rPr>
          <w:rStyle w:val="Fotnotsreferens"/>
        </w:rPr>
        <w:footnoteRef/>
      </w:r>
      <w:r>
        <w:t>Trädbränsle avser både ved och träkol enligt FAO:s terminologi.</w:t>
      </w:r>
    </w:p>
  </w:footnote>
  <w:footnote w:id="3">
    <w:p w14:paraId="56BC070D" w14:textId="77777777" w:rsidR="00106601" w:rsidRPr="00416502" w:rsidRDefault="00106601">
      <w:pPr>
        <w:pStyle w:val="Fotnotstext"/>
      </w:pPr>
      <w:r>
        <w:rPr>
          <w:rStyle w:val="Fotnotsreferens"/>
        </w:rPr>
        <w:footnoteRef/>
      </w:r>
      <w:r>
        <w:t xml:space="preserve"> Definierad som en minskning med mer än 20 procent av krontäcket mellan 2000 och 2012.</w:t>
      </w:r>
    </w:p>
  </w:footnote>
  <w:footnote w:id="4">
    <w:p w14:paraId="066762BB" w14:textId="77777777" w:rsidR="00106601" w:rsidRPr="00416502" w:rsidRDefault="00106601">
      <w:pPr>
        <w:pStyle w:val="Fotnotstext"/>
      </w:pPr>
      <w:r>
        <w:rPr>
          <w:rStyle w:val="Fotnotsreferens"/>
        </w:rPr>
        <w:footnoteRef/>
      </w:r>
      <w:r>
        <w:t xml:space="preserve"> Bilaga III – ej lagligt bindande officiell förklaring med principer för en global enighet rörande förvaltning, bevarande och en hållbar utveckling av alla typer av skogar – rapport från FN:s konferens om miljö och utveckling, Rio de Janeiro, Brasilien,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100631"/>
      <w:docPartObj>
        <w:docPartGallery w:val="Page Numbers (Top of Page)"/>
        <w:docPartUnique/>
      </w:docPartObj>
    </w:sdtPr>
    <w:sdtEndPr/>
    <w:sdtContent>
      <w:p w14:paraId="3A9C9451" w14:textId="40ED8AF3" w:rsidR="00117AEB" w:rsidRDefault="00117AEB">
        <w:pPr>
          <w:pStyle w:val="Sidhuvud"/>
          <w:jc w:val="right"/>
        </w:pPr>
        <w:r>
          <w:fldChar w:fldCharType="begin"/>
        </w:r>
        <w:r>
          <w:instrText>PAGE   \* MERGEFORMAT</w:instrText>
        </w:r>
        <w:r>
          <w:fldChar w:fldCharType="separate"/>
        </w:r>
        <w:r w:rsidR="00F31905">
          <w:rPr>
            <w:noProof/>
          </w:rPr>
          <w:t>2</w:t>
        </w:r>
        <w:r>
          <w:fldChar w:fldCharType="end"/>
        </w:r>
      </w:p>
    </w:sdtContent>
  </w:sdt>
  <w:p w14:paraId="23F2A7DE" w14:textId="77777777" w:rsidR="00117AEB" w:rsidRDefault="00117AE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abstractNumId w:val="20"/>
  </w:num>
  <w:num w:numId="2">
    <w:abstractNumId w:val="27"/>
  </w:num>
  <w:num w:numId="3">
    <w:abstractNumId w:val="4"/>
  </w:num>
  <w:num w:numId="4">
    <w:abstractNumId w:val="1"/>
  </w:num>
  <w:num w:numId="5">
    <w:abstractNumId w:val="5"/>
  </w:num>
  <w:num w:numId="6">
    <w:abstractNumId w:val="3"/>
  </w:num>
  <w:num w:numId="7">
    <w:abstractNumId w:val="18"/>
  </w:num>
  <w:num w:numId="8">
    <w:abstractNumId w:val="16"/>
  </w:num>
  <w:num w:numId="9">
    <w:abstractNumId w:val="8"/>
  </w:num>
  <w:num w:numId="10">
    <w:abstractNumId w:val="13"/>
  </w:num>
  <w:num w:numId="11">
    <w:abstractNumId w:val="17"/>
  </w:num>
  <w:num w:numId="12">
    <w:abstractNumId w:val="32"/>
  </w:num>
  <w:num w:numId="13">
    <w:abstractNumId w:val="25"/>
  </w:num>
  <w:num w:numId="14">
    <w:abstractNumId w:val="9"/>
  </w:num>
  <w:num w:numId="15">
    <w:abstractNumId w:val="7"/>
  </w:num>
  <w:num w:numId="16">
    <w:abstractNumId w:val="29"/>
  </w:num>
  <w:num w:numId="17">
    <w:abstractNumId w:val="26"/>
  </w:num>
  <w:num w:numId="18">
    <w:abstractNumId w:val="6"/>
  </w:num>
  <w:num w:numId="19">
    <w:abstractNumId w:val="0"/>
  </w:num>
  <w:num w:numId="20">
    <w:abstractNumId w:val="2"/>
  </w:num>
  <w:num w:numId="21">
    <w:abstractNumId w:val="15"/>
  </w:num>
  <w:num w:numId="22">
    <w:abstractNumId w:val="10"/>
  </w:num>
  <w:num w:numId="23">
    <w:abstractNumId w:val="22"/>
  </w:num>
  <w:num w:numId="24">
    <w:abstractNumId w:val="23"/>
  </w:num>
  <w:num w:numId="25">
    <w:abstractNumId w:val="33"/>
  </w:num>
  <w:num w:numId="26">
    <w:abstractNumId w:val="19"/>
  </w:num>
  <w:num w:numId="27">
    <w:abstractNumId w:val="30"/>
  </w:num>
  <w:num w:numId="28">
    <w:abstractNumId w:val="14"/>
  </w:num>
  <w:num w:numId="29">
    <w:abstractNumId w:val="12"/>
  </w:num>
  <w:num w:numId="30">
    <w:abstractNumId w:val="31"/>
  </w:num>
  <w:num w:numId="31">
    <w:abstractNumId w:val="11"/>
  </w:num>
  <w:num w:numId="32">
    <w:abstractNumId w:val="24"/>
  </w:num>
  <w:num w:numId="33">
    <w:abstractNumId w:val="28"/>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DD"/>
    <w:rsid w:val="00004D5C"/>
    <w:rsid w:val="00005F68"/>
    <w:rsid w:val="00012B00"/>
    <w:rsid w:val="00017386"/>
    <w:rsid w:val="00026711"/>
    <w:rsid w:val="00041EDC"/>
    <w:rsid w:val="00057FE0"/>
    <w:rsid w:val="000757FC"/>
    <w:rsid w:val="000862E0"/>
    <w:rsid w:val="00093408"/>
    <w:rsid w:val="0009435C"/>
    <w:rsid w:val="000C61D1"/>
    <w:rsid w:val="000E12D9"/>
    <w:rsid w:val="000F00B8"/>
    <w:rsid w:val="00106601"/>
    <w:rsid w:val="00111809"/>
    <w:rsid w:val="00117AEB"/>
    <w:rsid w:val="00121002"/>
    <w:rsid w:val="00170CE4"/>
    <w:rsid w:val="00173126"/>
    <w:rsid w:val="00192E34"/>
    <w:rsid w:val="001C5DC9"/>
    <w:rsid w:val="001C71A9"/>
    <w:rsid w:val="001F0629"/>
    <w:rsid w:val="001F0736"/>
    <w:rsid w:val="001F4302"/>
    <w:rsid w:val="00201CC8"/>
    <w:rsid w:val="00204079"/>
    <w:rsid w:val="00211B4E"/>
    <w:rsid w:val="00213258"/>
    <w:rsid w:val="00222258"/>
    <w:rsid w:val="00223AD6"/>
    <w:rsid w:val="00233D52"/>
    <w:rsid w:val="00260D2D"/>
    <w:rsid w:val="00281106"/>
    <w:rsid w:val="00282D27"/>
    <w:rsid w:val="00292420"/>
    <w:rsid w:val="002D185B"/>
    <w:rsid w:val="002E4D3F"/>
    <w:rsid w:val="002F66A6"/>
    <w:rsid w:val="003050DB"/>
    <w:rsid w:val="00307E0B"/>
    <w:rsid w:val="00310561"/>
    <w:rsid w:val="003128E2"/>
    <w:rsid w:val="00314336"/>
    <w:rsid w:val="0031702E"/>
    <w:rsid w:val="00326C03"/>
    <w:rsid w:val="00340DE0"/>
    <w:rsid w:val="00342327"/>
    <w:rsid w:val="00347E11"/>
    <w:rsid w:val="00350C92"/>
    <w:rsid w:val="00370311"/>
    <w:rsid w:val="0038587E"/>
    <w:rsid w:val="00392ED4"/>
    <w:rsid w:val="003A018B"/>
    <w:rsid w:val="003A5969"/>
    <w:rsid w:val="003A5C58"/>
    <w:rsid w:val="003C4BFD"/>
    <w:rsid w:val="003C7BE0"/>
    <w:rsid w:val="003D0DD3"/>
    <w:rsid w:val="003D17EF"/>
    <w:rsid w:val="003D3535"/>
    <w:rsid w:val="003E6020"/>
    <w:rsid w:val="0041223B"/>
    <w:rsid w:val="00416502"/>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2127C"/>
    <w:rsid w:val="00533841"/>
    <w:rsid w:val="00544738"/>
    <w:rsid w:val="005456E4"/>
    <w:rsid w:val="00547B89"/>
    <w:rsid w:val="005606BC"/>
    <w:rsid w:val="00567799"/>
    <w:rsid w:val="00571A0B"/>
    <w:rsid w:val="005850D7"/>
    <w:rsid w:val="00596E2B"/>
    <w:rsid w:val="005A5193"/>
    <w:rsid w:val="005E2F29"/>
    <w:rsid w:val="005E4E79"/>
    <w:rsid w:val="006175D7"/>
    <w:rsid w:val="006208E5"/>
    <w:rsid w:val="00631F82"/>
    <w:rsid w:val="00654B4D"/>
    <w:rsid w:val="00670A48"/>
    <w:rsid w:val="00672F6F"/>
    <w:rsid w:val="0069523C"/>
    <w:rsid w:val="006B4A30"/>
    <w:rsid w:val="006B7569"/>
    <w:rsid w:val="006D3188"/>
    <w:rsid w:val="006D59F9"/>
    <w:rsid w:val="006E08FC"/>
    <w:rsid w:val="006F2588"/>
    <w:rsid w:val="00710A6C"/>
    <w:rsid w:val="00712266"/>
    <w:rsid w:val="00732C27"/>
    <w:rsid w:val="00750C93"/>
    <w:rsid w:val="00757B3B"/>
    <w:rsid w:val="00773075"/>
    <w:rsid w:val="00782B3F"/>
    <w:rsid w:val="0079641B"/>
    <w:rsid w:val="007A629C"/>
    <w:rsid w:val="007C44FF"/>
    <w:rsid w:val="007C7BDB"/>
    <w:rsid w:val="007D73AB"/>
    <w:rsid w:val="007D7833"/>
    <w:rsid w:val="007F516C"/>
    <w:rsid w:val="00804C1B"/>
    <w:rsid w:val="00816677"/>
    <w:rsid w:val="008178E6"/>
    <w:rsid w:val="008210DD"/>
    <w:rsid w:val="008375D5"/>
    <w:rsid w:val="008553F6"/>
    <w:rsid w:val="00875DDD"/>
    <w:rsid w:val="00891929"/>
    <w:rsid w:val="008A0A0D"/>
    <w:rsid w:val="008C562B"/>
    <w:rsid w:val="008D3090"/>
    <w:rsid w:val="008D4306"/>
    <w:rsid w:val="008D4508"/>
    <w:rsid w:val="008E77D6"/>
    <w:rsid w:val="0092226E"/>
    <w:rsid w:val="0093335A"/>
    <w:rsid w:val="0094502D"/>
    <w:rsid w:val="00947013"/>
    <w:rsid w:val="00957413"/>
    <w:rsid w:val="00986CC3"/>
    <w:rsid w:val="009920AA"/>
    <w:rsid w:val="009A4D0A"/>
    <w:rsid w:val="009C2459"/>
    <w:rsid w:val="009C6BEE"/>
    <w:rsid w:val="009D5D40"/>
    <w:rsid w:val="009D6B1B"/>
    <w:rsid w:val="009E107B"/>
    <w:rsid w:val="009E18D6"/>
    <w:rsid w:val="00A01F5C"/>
    <w:rsid w:val="00A061BD"/>
    <w:rsid w:val="00A3270B"/>
    <w:rsid w:val="00A43B02"/>
    <w:rsid w:val="00A5156E"/>
    <w:rsid w:val="00A56824"/>
    <w:rsid w:val="00A65C80"/>
    <w:rsid w:val="00A67276"/>
    <w:rsid w:val="00A67840"/>
    <w:rsid w:val="00A743AC"/>
    <w:rsid w:val="00A87A54"/>
    <w:rsid w:val="00AA1809"/>
    <w:rsid w:val="00AB0F40"/>
    <w:rsid w:val="00AB6313"/>
    <w:rsid w:val="00AF0BB7"/>
    <w:rsid w:val="00AF0EDE"/>
    <w:rsid w:val="00B06751"/>
    <w:rsid w:val="00B2169D"/>
    <w:rsid w:val="00B21CBB"/>
    <w:rsid w:val="00B316CA"/>
    <w:rsid w:val="00B41F72"/>
    <w:rsid w:val="00B517E1"/>
    <w:rsid w:val="00B55E70"/>
    <w:rsid w:val="00B639D8"/>
    <w:rsid w:val="00B84409"/>
    <w:rsid w:val="00BB5683"/>
    <w:rsid w:val="00BD0826"/>
    <w:rsid w:val="00BE3210"/>
    <w:rsid w:val="00C141C6"/>
    <w:rsid w:val="00C2071A"/>
    <w:rsid w:val="00C20ACB"/>
    <w:rsid w:val="00C26068"/>
    <w:rsid w:val="00C271A8"/>
    <w:rsid w:val="00C33D6A"/>
    <w:rsid w:val="00C37A77"/>
    <w:rsid w:val="00C4042C"/>
    <w:rsid w:val="00C461E6"/>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5424"/>
    <w:rsid w:val="00DA2AC1"/>
    <w:rsid w:val="00DB561E"/>
    <w:rsid w:val="00DB714B"/>
    <w:rsid w:val="00DF5BFB"/>
    <w:rsid w:val="00E469E4"/>
    <w:rsid w:val="00E475C3"/>
    <w:rsid w:val="00E509B0"/>
    <w:rsid w:val="00E7634A"/>
    <w:rsid w:val="00E82BA3"/>
    <w:rsid w:val="00EA1688"/>
    <w:rsid w:val="00ED592E"/>
    <w:rsid w:val="00ED6ABD"/>
    <w:rsid w:val="00EE3C0F"/>
    <w:rsid w:val="00EF2A7F"/>
    <w:rsid w:val="00F03EAC"/>
    <w:rsid w:val="00F14024"/>
    <w:rsid w:val="00F2348B"/>
    <w:rsid w:val="00F259D7"/>
    <w:rsid w:val="00F31905"/>
    <w:rsid w:val="00F32D05"/>
    <w:rsid w:val="00F35263"/>
    <w:rsid w:val="00F53AEA"/>
    <w:rsid w:val="00F66093"/>
    <w:rsid w:val="00F848D6"/>
    <w:rsid w:val="00FA5DDD"/>
    <w:rsid w:val="00FB73BB"/>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B51FA1"/>
  <w15:docId w15:val="{FBE5210B-7A1D-4594-9B72-55586B65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sv-SE" w:bidi="sv-SE"/>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styleId="Ballongtext">
    <w:name w:val="Balloon Text"/>
    <w:basedOn w:val="Normal"/>
    <w:link w:val="BallongtextChar"/>
    <w:uiPriority w:val="99"/>
    <w:semiHidden/>
    <w:unhideWhenUsed/>
    <w:rsid w:val="00117AE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7AEB"/>
    <w:rPr>
      <w:rFonts w:ascii="Tahoma" w:hAnsi="Tahoma" w:cs="Tahoma"/>
      <w:sz w:val="16"/>
      <w:szCs w:val="16"/>
    </w:rPr>
  </w:style>
  <w:style w:type="paragraph" w:customStyle="1" w:styleId="Default">
    <w:name w:val="Default"/>
    <w:rsid w:val="00117A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3.xml><?xml version="1.0" encoding="utf-8"?>
<ct:contentTypeSchema xmlns:ct="http://schemas.microsoft.com/office/2006/metadata/contentType" xmlns:ma="http://schemas.microsoft.com/office/2006/metadata/properties/metaAttributes" ct:_="" ma:_="" ma:contentTypeName="RKDokument" ma:contentTypeID="0x01010053E1D612BA3F4E21AA250ECD751942B3003721DBCBD247054AAE2C1E2F1827BC61" ma:contentTypeVersion="11" ma:contentTypeDescription="Skapa ett nytt dokument." ma:contentTypeScope="" ma:versionID="e58a3965a91ee7221829b5f6c49b290c">
  <xsd:schema xmlns:xsd="http://www.w3.org/2001/XMLSchema" xmlns:xs="http://www.w3.org/2001/XMLSchema" xmlns:p="http://schemas.microsoft.com/office/2006/metadata/properties" xmlns:ns2="736d6f9b-0f69-446c-a00c-279b631a456b" xmlns:ns3="1daf76b3-4cee-4af5-8080-d9834fd63a08" targetNamespace="http://schemas.microsoft.com/office/2006/metadata/properties" ma:root="true" ma:fieldsID="18a45cbd165f26ec3e9e824a9d6c3f47" ns2:_="" ns3:_="">
    <xsd:import namespace="736d6f9b-0f69-446c-a00c-279b631a456b"/>
    <xsd:import namespace="1daf76b3-4cee-4af5-8080-d9834fd63a08"/>
    <xsd:element name="properties">
      <xsd:complexType>
        <xsd:sequence>
          <xsd:element name="documentManagement">
            <xsd:complexType>
              <xsd:all>
                <xsd:element ref="ns2:Diarienummer" minOccurs="0"/>
                <xsd:element ref="ns2:Nyckelord" minOccurs="0"/>
                <xsd:element ref="ns3:Sekretess_x0020_m.m." minOccurs="0"/>
                <xsd:element ref="ns2:Sekretess" minOccurs="0"/>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Diarienummer" ma:index="2" nillable="true" ma:displayName="Diarienummer" ma:internalName="Diarienummer" ma:readOnly="false">
      <xsd:simpleType>
        <xsd:restriction base="dms:Text"/>
      </xsd:simpleType>
    </xsd:element>
    <xsd:element name="Nyckelord" ma:index="3" nillable="true" ma:displayName="Nyckelord" ma:internalName="Nyckelord" ma:readOnly="false">
      <xsd:simpleType>
        <xsd:restriction base="dms:Text"/>
      </xsd:simpleType>
    </xsd:element>
    <xsd:element name="Sekretess" ma:index="7"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ma:readOnly="false">
      <xsd:simpleType>
        <xsd:restriction base="dms:Note"/>
      </xsd:simple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f76b3-4cee-4af5-8080-d9834fd63a08" elementFormDefault="qualified">
    <xsd:import namespace="http://schemas.microsoft.com/office/2006/documentManagement/types"/>
    <xsd:import namespace="http://schemas.microsoft.com/office/infopath/2007/PartnerControls"/>
    <xsd:element name="Sekretess_x0020_m.m." ma:index="4" nillable="true" ma:displayName="Sekretess m.m." ma:internalName="Sekretess_x0020_m_x002e_m_x002e_" ma:readOnly="false">
      <xsd:simpleType>
        <xsd:restriction base="dms:Boolean"/>
      </xsd:simpleType>
    </xsd:element>
    <xsd:element name="RKOrdnaClass" ma:index="21" nillable="true" ma:displayName="RKOrdnaClass" ma:hidden="true" ma:internalName="RKOrdnaClass" ma:readOnly="false">
      <xsd:simpleType>
        <xsd:restriction base="dms:Text"/>
      </xsd:simpleType>
    </xsd:element>
    <xsd:element name="RKOrdnaCheckInComment" ma:index="23"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Nyckelord xmlns="736d6f9b-0f69-446c-a00c-279b631a456b" xsi:nil="true"/>
    <k46d94c0acf84ab9a79866a9d8b1905f xmlns="736d6f9b-0f69-446c-a00c-279b631a456b" xsi:nil="true"/>
    <RKOrdnaCheckInComment xmlns="1daf76b3-4cee-4af5-8080-d9834fd63a08" xsi:nil="true"/>
    <Sekretess xmlns="736d6f9b-0f69-446c-a00c-279b631a456b" xsi:nil="true"/>
    <TaxCatchAll xmlns="736d6f9b-0f69-446c-a00c-279b631a456b"/>
    <Diarienummer xmlns="736d6f9b-0f69-446c-a00c-279b631a456b" xsi:nil="true"/>
    <RKOrdnaClass xmlns="1daf76b3-4cee-4af5-8080-d9834fd63a08" xsi:nil="true"/>
    <c9cd366cc722410295b9eacffbd73909 xmlns="736d6f9b-0f69-446c-a00c-279b631a456b" xsi:nil="true"/>
    <Sekretess_x0020_m.m. xmlns="1daf76b3-4cee-4af5-8080-d9834fd63a08" xsi:nil="true"/>
    <_dlc_DocId xmlns="736d6f9b-0f69-446c-a00c-279b631a456b">KWSQ2AKCCCHU-22-26062</_dlc_DocId>
    <_dlc_DocIdUrl xmlns="736d6f9b-0f69-446c-a00c-279b631a456b">
      <Url>http://rkdhs-n/enhet/is/EUI_L/_layouts/DocIdRedir.aspx?ID=KWSQ2AKCCCHU-22-26062</Url>
      <Description>KWSQ2AKCCCHU-22-26062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04114-2B3D-4E84-98C8-A67EE6BA9AF7}">
  <ds:schemaRefs>
    <ds:schemaRef ds:uri="http://schemas.microsoft.com/sharepoint/v3/contenttype/forms/url"/>
  </ds:schemaRefs>
</ds:datastoreItem>
</file>

<file path=customXml/itemProps2.xml><?xml version="1.0" encoding="utf-8"?>
<ds:datastoreItem xmlns:ds="http://schemas.openxmlformats.org/officeDocument/2006/customXml" ds:itemID="{87832E82-63CA-4BEB-9A0D-EC3CB50F1C50}">
  <ds:schemaRefs>
    <ds:schemaRef ds:uri="http://lp/documentinfo/RK"/>
  </ds:schemaRefs>
</ds:datastoreItem>
</file>

<file path=customXml/itemProps3.xml><?xml version="1.0" encoding="utf-8"?>
<ds:datastoreItem xmlns:ds="http://schemas.openxmlformats.org/officeDocument/2006/customXml" ds:itemID="{75FA0571-A528-404B-8CA1-5A26EF40F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1daf76b3-4cee-4af5-8080-d9834fd63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54E77-9C98-4DEF-A04A-C5AF349F6256}">
  <ds:schemaRefs>
    <ds:schemaRef ds:uri="http://schemas.microsoft.com/office/2006/metadata/customXsn"/>
  </ds:schemaRefs>
</ds:datastoreItem>
</file>

<file path=customXml/itemProps5.xml><?xml version="1.0" encoding="utf-8"?>
<ds:datastoreItem xmlns:ds="http://schemas.openxmlformats.org/officeDocument/2006/customXml" ds:itemID="{523AE909-F8E3-4490-A1BC-E4EDE2E431E6}">
  <ds:schemaRefs>
    <ds:schemaRef ds:uri="http://schemas.microsoft.com/office/2006/documentManagement/types"/>
    <ds:schemaRef ds:uri="1daf76b3-4cee-4af5-8080-d9834fd63a08"/>
    <ds:schemaRef ds:uri="http://purl.org/dc/elements/1.1/"/>
    <ds:schemaRef ds:uri="http://schemas.microsoft.com/office/2006/metadata/properties"/>
    <ds:schemaRef ds:uri="736d6f9b-0f69-446c-a00c-279b631a456b"/>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68255C34-D862-4929-BB65-531CD2792D70}">
  <ds:schemaRefs>
    <ds:schemaRef ds:uri="http://schemas.microsoft.com/sharepoint/events"/>
  </ds:schemaRefs>
</ds:datastoreItem>
</file>

<file path=customXml/itemProps7.xml><?xml version="1.0" encoding="utf-8"?>
<ds:datastoreItem xmlns:ds="http://schemas.openxmlformats.org/officeDocument/2006/customXml" ds:itemID="{32DB226A-7B8E-42AC-8F96-BA9EC1F8FAB0}">
  <ds:schemaRefs>
    <ds:schemaRef ds:uri="http://schemas.microsoft.com/sharepoint/v3/contenttype/forms"/>
  </ds:schemaRefs>
</ds:datastoreItem>
</file>

<file path=customXml/itemProps8.xml><?xml version="1.0" encoding="utf-8"?>
<ds:datastoreItem xmlns:ds="http://schemas.openxmlformats.org/officeDocument/2006/customXml" ds:itemID="{C2EDB71F-DEF3-4699-AC73-A939FF6F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4775</Words>
  <Characters>25308</Characters>
  <Application>Microsoft Office Word</Application>
  <DocSecurity>0</DocSecurity>
  <Lines>210</Lines>
  <Paragraphs>60</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Sivard-Askvik</dc:creator>
  <cp:lastModifiedBy>Helena Sivard-Askvik</cp:lastModifiedBy>
  <cp:revision>4</cp:revision>
  <cp:lastPrinted>2018-01-22T09:53:00Z</cp:lastPrinted>
  <dcterms:created xsi:type="dcterms:W3CDTF">2017-10-19T08:56:00Z</dcterms:created>
  <dcterms:modified xsi:type="dcterms:W3CDTF">2018-01-22T09:56:00Z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0x01010053E1D612BA3F4E21AA250ECD751942B3003721DBCBD247054AAE2C1E2F1827BC61</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4b7bfd35-abeb-415e-a32b-a791b807829c</vt:lpwstr>
  </property>
</Properties>
</file>