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6177B" w14:textId="466736F8" w:rsidR="00F31905" w:rsidRPr="00F31905" w:rsidRDefault="00F31905" w:rsidP="00F31905">
      <w:pPr>
        <w:pStyle w:val="Brdtext"/>
        <w:rPr>
          <w:sz w:val="22"/>
          <w:szCs w:val="22"/>
        </w:rPr>
      </w:pPr>
      <w:r w:rsidRPr="00F31905">
        <w:rPr>
          <w:sz w:val="22"/>
          <w:szCs w:val="22"/>
        </w:rPr>
        <w:t>Detta dokument publicerades ursprungligen på engelska av FN:s Livsmedels- och jordbruksorganisation. Dokumentet har översatts till svenska av Utrikesdepartementets språktjänst. Utrikesdepartementet ansvarar för kvaliteten på översättningen. I händelse av avvikelser gäller den engelska källtexten.</w:t>
      </w:r>
    </w:p>
    <w:p w14:paraId="7D0BF21F" w14:textId="77777777" w:rsidR="00F31905" w:rsidRDefault="00F31905" w:rsidP="00C33D6A">
      <w:pPr>
        <w:pStyle w:val="Rubrik2utannumrering"/>
      </w:pPr>
    </w:p>
    <w:p w14:paraId="1BAF91B9" w14:textId="3FA6CCCF" w:rsidR="00C33D6A" w:rsidRDefault="00C33D6A" w:rsidP="00C33D6A">
      <w:pPr>
        <w:pStyle w:val="Rubrik2utannumrering"/>
      </w:pPr>
      <w:r>
        <w:t>Översättning av sammanfattningen av rapporten Hållbar</w:t>
      </w:r>
      <w:bookmarkStart w:id="0" w:name="_GoBack"/>
      <w:bookmarkEnd w:id="0"/>
      <w:r>
        <w:t>t skogsbruk för tryggad livsmedelsförsörjning och nutrition 2017</w:t>
      </w:r>
    </w:p>
    <w:p w14:paraId="1FC9B905" w14:textId="397623E0" w:rsidR="00DB561E" w:rsidRPr="00C33D6A" w:rsidRDefault="00DB561E" w:rsidP="00C33D6A">
      <w:pPr>
        <w:pStyle w:val="Rubrik3utannumrering"/>
        <w:rPr>
          <w:rFonts w:ascii="Calibri" w:hAnsi="Calibri" w:cs="Calibri"/>
          <w:sz w:val="24"/>
        </w:rPr>
      </w:pPr>
      <w:r w:rsidRPr="00C33D6A">
        <w:rPr>
          <w:rFonts w:ascii="Calibri" w:hAnsi="Calibri" w:cs="Calibri"/>
          <w:sz w:val="24"/>
        </w:rPr>
        <w:t xml:space="preserve">FÖRORD </w:t>
      </w:r>
    </w:p>
    <w:p w14:paraId="18CBA513" w14:textId="77777777" w:rsidR="00DB561E" w:rsidRPr="00C33D6A" w:rsidRDefault="00DB561E" w:rsidP="00DB561E">
      <w:pPr>
        <w:rPr>
          <w:rFonts w:ascii="Calibri" w:hAnsi="Calibri" w:cs="Calibri"/>
          <w:sz w:val="24"/>
          <w:szCs w:val="24"/>
        </w:rPr>
      </w:pPr>
      <w:r w:rsidRPr="00C33D6A">
        <w:rPr>
          <w:rFonts w:ascii="Calibri" w:hAnsi="Calibri" w:cs="Calibri"/>
          <w:sz w:val="24"/>
          <w:szCs w:val="24"/>
        </w:rPr>
        <w:t xml:space="preserve">Högnivåpanelen (High Level Panel of Experts, HLPE) för </w:t>
      </w:r>
      <w:r w:rsidR="00DA2AC1" w:rsidRPr="00C33D6A">
        <w:rPr>
          <w:rFonts w:ascii="Calibri" w:hAnsi="Calibri" w:cs="Calibri"/>
          <w:sz w:val="24"/>
          <w:szCs w:val="24"/>
        </w:rPr>
        <w:t>tryggad livsmedelsförsörjning och nutrition</w:t>
      </w:r>
      <w:r w:rsidRPr="00C33D6A">
        <w:rPr>
          <w:rFonts w:ascii="Calibri" w:hAnsi="Calibri" w:cs="Calibri"/>
          <w:sz w:val="24"/>
          <w:szCs w:val="24"/>
        </w:rPr>
        <w:t xml:space="preserve"> är </w:t>
      </w:r>
      <w:r w:rsidR="00DA2AC1" w:rsidRPr="00C33D6A">
        <w:rPr>
          <w:rFonts w:ascii="Calibri" w:hAnsi="Calibri" w:cs="Calibri"/>
          <w:sz w:val="24"/>
          <w:szCs w:val="24"/>
        </w:rPr>
        <w:t xml:space="preserve">en samverkan mellan </w:t>
      </w:r>
      <w:r w:rsidRPr="00C33D6A">
        <w:rPr>
          <w:rFonts w:ascii="Calibri" w:hAnsi="Calibri" w:cs="Calibri"/>
          <w:sz w:val="24"/>
          <w:szCs w:val="24"/>
        </w:rPr>
        <w:t>vetenskap och poli</w:t>
      </w:r>
      <w:r w:rsidR="00DA2AC1" w:rsidRPr="00C33D6A">
        <w:rPr>
          <w:rFonts w:ascii="Calibri" w:hAnsi="Calibri" w:cs="Calibri"/>
          <w:sz w:val="24"/>
          <w:szCs w:val="24"/>
        </w:rPr>
        <w:t>cy</w:t>
      </w:r>
      <w:r w:rsidRPr="00C33D6A">
        <w:rPr>
          <w:rFonts w:ascii="Calibri" w:hAnsi="Calibri" w:cs="Calibri"/>
          <w:sz w:val="24"/>
          <w:szCs w:val="24"/>
        </w:rPr>
        <w:t xml:space="preserve"> inom FAO:s </w:t>
      </w:r>
      <w:r w:rsidR="00DA2AC1" w:rsidRPr="00C33D6A">
        <w:rPr>
          <w:rFonts w:ascii="Calibri" w:hAnsi="Calibri" w:cs="Calibri"/>
          <w:sz w:val="24"/>
          <w:szCs w:val="24"/>
        </w:rPr>
        <w:t>Kommitté för tryggad livsmedelsförsörjning</w:t>
      </w:r>
      <w:r w:rsidRPr="00C33D6A">
        <w:rPr>
          <w:rFonts w:ascii="Calibri" w:hAnsi="Calibri" w:cs="Calibri"/>
          <w:sz w:val="24"/>
          <w:szCs w:val="24"/>
        </w:rPr>
        <w:t xml:space="preserve">(CFS), som är världens främsta inkluderande och evidensbaserade mellanstatliga plattform för </w:t>
      </w:r>
      <w:r w:rsidR="00DA2AC1" w:rsidRPr="00C33D6A">
        <w:rPr>
          <w:rFonts w:ascii="Calibri" w:hAnsi="Calibri" w:cs="Calibri"/>
          <w:sz w:val="24"/>
          <w:szCs w:val="24"/>
        </w:rPr>
        <w:t>tryggad livsmedelsförsörjning och nutrition</w:t>
      </w:r>
      <w:r w:rsidRPr="00C33D6A">
        <w:rPr>
          <w:rFonts w:ascii="Calibri" w:hAnsi="Calibri" w:cs="Calibri"/>
          <w:sz w:val="24"/>
          <w:szCs w:val="24"/>
        </w:rPr>
        <w:t xml:space="preserve">.  </w:t>
      </w:r>
    </w:p>
    <w:p w14:paraId="57887C7A" w14:textId="77777777" w:rsidR="00DB561E" w:rsidRPr="00C33D6A" w:rsidRDefault="00DB561E" w:rsidP="00DB561E">
      <w:pPr>
        <w:rPr>
          <w:rFonts w:ascii="Calibri" w:hAnsi="Calibri" w:cs="Calibri"/>
          <w:sz w:val="24"/>
          <w:szCs w:val="24"/>
        </w:rPr>
      </w:pPr>
      <w:r w:rsidRPr="00C33D6A">
        <w:rPr>
          <w:rFonts w:ascii="Calibri" w:hAnsi="Calibri" w:cs="Calibri"/>
          <w:sz w:val="24"/>
          <w:szCs w:val="24"/>
        </w:rPr>
        <w:t xml:space="preserve">HLPE:s rapporter fungerar som en gemensam, övergripande och evidensbaserad utgångspunkt för mellanstatliga och internationella politiska debatter mellan olika intressenter inom CFS. HLPE bygger sina studier på befintlig forskning och kunskap och strävar efter att bringa klarhet i motstridiga uppgifter och kunskapssystem, klarlägga bakgrunder och orsaker till kontroverser samt identifiera framväxande problem. För att kunna göra detta leder HLPE en vetenskaplig dialog som bygger på de olika forskningsfält, bakgrunder och kunskapssystem som finns representerade hos medlemmarna i styrkommittén och projektgrupperna. Dialogen omfattar också den kunskapsgemenskap som deltar i öppna elektroniska samråd.  </w:t>
      </w:r>
    </w:p>
    <w:p w14:paraId="2A1C4577" w14:textId="77777777" w:rsidR="00DB561E" w:rsidRPr="00C33D6A" w:rsidRDefault="00DB561E" w:rsidP="00DB561E">
      <w:pPr>
        <w:rPr>
          <w:rFonts w:ascii="Calibri" w:hAnsi="Calibri" w:cs="Calibri"/>
          <w:sz w:val="24"/>
          <w:szCs w:val="24"/>
        </w:rPr>
      </w:pPr>
      <w:r w:rsidRPr="00C33D6A">
        <w:rPr>
          <w:rFonts w:ascii="Calibri" w:hAnsi="Calibri" w:cs="Calibri"/>
          <w:sz w:val="24"/>
          <w:szCs w:val="24"/>
        </w:rPr>
        <w:t xml:space="preserve">HLPE:s rapporter har en utbredd användning som referensdokument inom och utanför CFS och FN-systemet, av det vetenskapliga samfundet och av politiska beslutsfattare och intressenter på internationell, regional och nationell nivå.  </w:t>
      </w:r>
    </w:p>
    <w:p w14:paraId="28C66165" w14:textId="77777777" w:rsidR="00C33D6A" w:rsidRPr="00C33D6A" w:rsidRDefault="00C33D6A" w:rsidP="00C33D6A">
      <w:pPr>
        <w:rPr>
          <w:rFonts w:ascii="Calibri" w:hAnsi="Calibri" w:cs="Calibri"/>
          <w:sz w:val="24"/>
          <w:szCs w:val="24"/>
        </w:rPr>
      </w:pPr>
      <w:r w:rsidRPr="00C33D6A">
        <w:rPr>
          <w:rFonts w:ascii="Calibri" w:hAnsi="Calibri" w:cs="Calibri"/>
          <w:sz w:val="24"/>
          <w:szCs w:val="24"/>
        </w:rPr>
        <w:t xml:space="preserve">*** </w:t>
      </w:r>
    </w:p>
    <w:p w14:paraId="692AB40F" w14:textId="77777777" w:rsidR="00DB561E" w:rsidRPr="00C33D6A" w:rsidRDefault="00DB561E" w:rsidP="00DB561E">
      <w:pPr>
        <w:rPr>
          <w:rFonts w:ascii="Calibri" w:hAnsi="Calibri" w:cs="Calibri"/>
          <w:sz w:val="24"/>
          <w:szCs w:val="24"/>
        </w:rPr>
      </w:pPr>
      <w:r w:rsidRPr="00C33D6A">
        <w:rPr>
          <w:rFonts w:ascii="Calibri" w:hAnsi="Calibri" w:cs="Calibri"/>
          <w:sz w:val="24"/>
          <w:szCs w:val="24"/>
        </w:rPr>
        <w:t xml:space="preserve">Vid sitt 41:a </w:t>
      </w:r>
      <w:r w:rsidR="00DA2AC1" w:rsidRPr="00C33D6A">
        <w:rPr>
          <w:rFonts w:ascii="Calibri" w:hAnsi="Calibri" w:cs="Calibri"/>
          <w:sz w:val="24"/>
          <w:szCs w:val="24"/>
        </w:rPr>
        <w:t>möte</w:t>
      </w:r>
      <w:r w:rsidRPr="00C33D6A">
        <w:rPr>
          <w:rFonts w:ascii="Calibri" w:hAnsi="Calibri" w:cs="Calibri"/>
          <w:sz w:val="24"/>
          <w:szCs w:val="24"/>
        </w:rPr>
        <w:t xml:space="preserve"> i oktober 2014 gav CFS i uppdrag till HLPE att genomföra en studie om hållbart skogsbruk för </w:t>
      </w:r>
      <w:r w:rsidR="00DA2AC1" w:rsidRPr="00C33D6A">
        <w:rPr>
          <w:rFonts w:ascii="Calibri" w:hAnsi="Calibri" w:cs="Calibri"/>
          <w:sz w:val="24"/>
          <w:szCs w:val="24"/>
        </w:rPr>
        <w:t>tryggad livsmedelsförsörjning och nutrition</w:t>
      </w:r>
      <w:r w:rsidRPr="00C33D6A">
        <w:rPr>
          <w:rFonts w:ascii="Calibri" w:hAnsi="Calibri" w:cs="Calibri"/>
          <w:sz w:val="24"/>
          <w:szCs w:val="24"/>
        </w:rPr>
        <w:t xml:space="preserve"> som underlag för debatterna vid CFS 44:e</w:t>
      </w:r>
      <w:r w:rsidR="00DA2AC1" w:rsidRPr="00C33D6A">
        <w:rPr>
          <w:rFonts w:ascii="Calibri" w:hAnsi="Calibri" w:cs="Calibri"/>
          <w:sz w:val="24"/>
          <w:szCs w:val="24"/>
        </w:rPr>
        <w:t xml:space="preserve"> möte</w:t>
      </w:r>
      <w:r w:rsidRPr="00C33D6A">
        <w:rPr>
          <w:rFonts w:ascii="Calibri" w:hAnsi="Calibri" w:cs="Calibri"/>
          <w:sz w:val="24"/>
          <w:szCs w:val="24"/>
        </w:rPr>
        <w:t xml:space="preserve"> i oktober 2017. Den centrala frågan är hur man kan optimera skogarnas och trädens många direkta och indirekta bidrag till de fyra dimensionerna av </w:t>
      </w:r>
      <w:r w:rsidR="00DA2AC1" w:rsidRPr="00C33D6A">
        <w:rPr>
          <w:rFonts w:ascii="Calibri" w:hAnsi="Calibri" w:cs="Calibri"/>
          <w:sz w:val="24"/>
          <w:szCs w:val="24"/>
        </w:rPr>
        <w:t>tryggad livsmedelsförsörjning och nutrition</w:t>
      </w:r>
      <w:r w:rsidRPr="00C33D6A">
        <w:rPr>
          <w:rFonts w:ascii="Calibri" w:hAnsi="Calibri" w:cs="Calibri"/>
          <w:sz w:val="24"/>
          <w:szCs w:val="24"/>
        </w:rPr>
        <w:t xml:space="preserve"> (tillgänglighet, åtkomst, tillgodogörande och stabilitet). Frågan ställs mot bakgrund av den växande och konkurrerande efterfrågan på mark, skog och träd (bland annat för träproduktion, livsmedel, energi och ekosystemtjänster) samt mot bakgrund av klimatförändringarna.  </w:t>
      </w:r>
    </w:p>
    <w:p w14:paraId="264A9977" w14:textId="77777777" w:rsidR="00DB561E" w:rsidRPr="00C33D6A" w:rsidRDefault="00DB561E" w:rsidP="00DB561E">
      <w:pPr>
        <w:rPr>
          <w:rFonts w:ascii="Calibri" w:hAnsi="Calibri" w:cs="Calibri"/>
          <w:sz w:val="24"/>
          <w:szCs w:val="24"/>
        </w:rPr>
      </w:pPr>
      <w:r w:rsidRPr="00C33D6A">
        <w:rPr>
          <w:rFonts w:ascii="Calibri" w:hAnsi="Calibri" w:cs="Calibri"/>
          <w:sz w:val="24"/>
          <w:szCs w:val="24"/>
        </w:rPr>
        <w:t xml:space="preserve">Skogarnas betydelse har den senaste tiden lyfts fram i debatter om </w:t>
      </w:r>
      <w:r w:rsidR="00DA2AC1" w:rsidRPr="00C33D6A">
        <w:rPr>
          <w:rFonts w:ascii="Calibri" w:hAnsi="Calibri" w:cs="Calibri"/>
          <w:sz w:val="24"/>
          <w:szCs w:val="24"/>
        </w:rPr>
        <w:t>tryggad livsmedelsförsörjning och nutrition</w:t>
      </w:r>
      <w:r w:rsidRPr="00C33D6A">
        <w:rPr>
          <w:rFonts w:ascii="Calibri" w:hAnsi="Calibri" w:cs="Calibri"/>
          <w:sz w:val="24"/>
          <w:szCs w:val="24"/>
        </w:rPr>
        <w:t xml:space="preserve">. Diskussionerna om </w:t>
      </w:r>
      <w:r w:rsidR="00DA2AC1" w:rsidRPr="00C33D6A">
        <w:rPr>
          <w:rFonts w:ascii="Calibri" w:hAnsi="Calibri" w:cs="Calibri"/>
          <w:sz w:val="24"/>
          <w:szCs w:val="24"/>
        </w:rPr>
        <w:t>tryggad livsmedelsförsörjning och nutrition</w:t>
      </w:r>
      <w:r w:rsidRPr="00C33D6A">
        <w:rPr>
          <w:rFonts w:ascii="Calibri" w:hAnsi="Calibri" w:cs="Calibri"/>
          <w:sz w:val="24"/>
          <w:szCs w:val="24"/>
        </w:rPr>
        <w:t xml:space="preserve"> har ofta varit produktionsinriktade och handlat om att förbättra skördarna inom </w:t>
      </w:r>
      <w:r w:rsidRPr="00C33D6A">
        <w:rPr>
          <w:rFonts w:ascii="Calibri" w:hAnsi="Calibri" w:cs="Calibri"/>
          <w:sz w:val="24"/>
          <w:szCs w:val="24"/>
        </w:rPr>
        <w:lastRenderedPageBreak/>
        <w:t xml:space="preserve">jordbruket och hitta sätt att sprida ny teknik och nya metoder för att få ut mer av den produktiva marken. Skogarna lyftes sällan fram i dessa diskussioner, annat än som ett utrymme för att ytterligare utöka jordbruket eller som en hotad resurs som behövde skyddas på grund av denna utökning. FN:s millenniebedömning av ekosystemen (Millennium Ecosystem Assessment, 2005) har bidragit till den förändrade synen på skogarnas roll för </w:t>
      </w:r>
      <w:r w:rsidR="00DA2AC1" w:rsidRPr="00C33D6A">
        <w:rPr>
          <w:rFonts w:ascii="Calibri" w:hAnsi="Calibri" w:cs="Calibri"/>
          <w:sz w:val="24"/>
          <w:szCs w:val="24"/>
        </w:rPr>
        <w:t>tryggad livsmedelsförsörjning och nutrition</w:t>
      </w:r>
      <w:r w:rsidRPr="00C33D6A">
        <w:rPr>
          <w:rFonts w:ascii="Calibri" w:hAnsi="Calibri" w:cs="Calibri"/>
          <w:sz w:val="24"/>
          <w:szCs w:val="24"/>
        </w:rPr>
        <w:t xml:space="preserve">. Bedömningen var visserligen inriktad på miljöproblem, men lyfte också fram kopplingen mellan människors hälsa och näringsintag och ekosystemens hälsa, vilket även omfattar skogarna. I vårt utförande av uppdraget från CFS vänder vi på perspektivet i den här rapporten och fokuserar på </w:t>
      </w:r>
      <w:r w:rsidR="00DA2AC1" w:rsidRPr="00C33D6A">
        <w:rPr>
          <w:rFonts w:ascii="Calibri" w:hAnsi="Calibri" w:cs="Calibri"/>
          <w:sz w:val="24"/>
          <w:szCs w:val="24"/>
        </w:rPr>
        <w:t>tryggad livsmedelsförsörjning och nutrition</w:t>
      </w:r>
      <w:r w:rsidRPr="00C33D6A">
        <w:rPr>
          <w:rFonts w:ascii="Calibri" w:hAnsi="Calibri" w:cs="Calibri"/>
          <w:sz w:val="24"/>
          <w:szCs w:val="24"/>
        </w:rPr>
        <w:t xml:space="preserve">. </w:t>
      </w:r>
    </w:p>
    <w:p w14:paraId="16EE20EE" w14:textId="77777777" w:rsidR="00DB561E" w:rsidRPr="00C33D6A" w:rsidRDefault="00DB561E" w:rsidP="00DB561E">
      <w:pPr>
        <w:rPr>
          <w:rFonts w:ascii="Calibri" w:hAnsi="Calibri" w:cs="Calibri"/>
          <w:sz w:val="24"/>
          <w:szCs w:val="24"/>
        </w:rPr>
      </w:pPr>
      <w:r w:rsidRPr="00C33D6A">
        <w:rPr>
          <w:rFonts w:ascii="Calibri" w:hAnsi="Calibri" w:cs="Calibri"/>
          <w:sz w:val="24"/>
          <w:szCs w:val="24"/>
        </w:rPr>
        <w:t xml:space="preserve">Rapporten visar att skogar och träd bidrar till </w:t>
      </w:r>
      <w:r w:rsidR="00DA2AC1" w:rsidRPr="00C33D6A">
        <w:rPr>
          <w:rFonts w:ascii="Calibri" w:hAnsi="Calibri" w:cs="Calibri"/>
          <w:sz w:val="24"/>
          <w:szCs w:val="24"/>
        </w:rPr>
        <w:t>tryggad livsmedelsförsörjning och nutrition</w:t>
      </w:r>
      <w:r w:rsidRPr="00C33D6A">
        <w:rPr>
          <w:rFonts w:ascii="Calibri" w:hAnsi="Calibri" w:cs="Calibri"/>
          <w:sz w:val="24"/>
          <w:szCs w:val="24"/>
        </w:rPr>
        <w:t xml:space="preserve"> på fyra huvudsakliga sätt: som direkt källa till livsmedel, som energikälla (särskilt för matlagning), som källa till inkomst och sysselsättning och som källa till ekosystemtjänster som är avgörande för livsmedelsproduktionen på sikt, t.ex. vattenreglering, markskydd, bevarande av den biologiska mångfalden samt anpassning till och motverkande av klimatförändringarna. Bidragen varierar mellan olika typer av skogs- och trädsystem och sätten de brukas på.  </w:t>
      </w:r>
    </w:p>
    <w:p w14:paraId="487214DD" w14:textId="77777777" w:rsidR="00DB561E" w:rsidRPr="00C33D6A" w:rsidRDefault="00DB561E" w:rsidP="00DB561E">
      <w:pPr>
        <w:rPr>
          <w:rFonts w:ascii="Calibri" w:hAnsi="Calibri" w:cs="Calibri"/>
          <w:sz w:val="24"/>
          <w:szCs w:val="24"/>
        </w:rPr>
      </w:pPr>
      <w:r w:rsidRPr="00C33D6A">
        <w:rPr>
          <w:rFonts w:ascii="Calibri" w:hAnsi="Calibri" w:cs="Calibri"/>
          <w:sz w:val="24"/>
          <w:szCs w:val="24"/>
        </w:rPr>
        <w:t xml:space="preserve">En undersökning av skogarnas och trädens olika bidrag till </w:t>
      </w:r>
      <w:r w:rsidR="00DA2AC1" w:rsidRPr="00C33D6A">
        <w:rPr>
          <w:rFonts w:ascii="Calibri" w:hAnsi="Calibri" w:cs="Calibri"/>
          <w:sz w:val="24"/>
          <w:szCs w:val="24"/>
        </w:rPr>
        <w:t>tryggad livsmedelsförsörjning och nutrition</w:t>
      </w:r>
      <w:r w:rsidRPr="00C33D6A">
        <w:rPr>
          <w:rFonts w:ascii="Calibri" w:hAnsi="Calibri" w:cs="Calibri"/>
          <w:sz w:val="24"/>
          <w:szCs w:val="24"/>
        </w:rPr>
        <w:t xml:space="preserve"> visar att det inte finns någon tydlig gräns där träd slutar generera dessa bidrag. Träd som växer utanför skogsområden fyller också en viktig funktion när det gäller att trygga livsmedels- och näringsförsörjningen. HLPE antar därför ett brett förhållningssätt i den här rapporten, som inte bara omfattar skogar, utan även träd som växer utanför skogar. Rapportens fokus går utöver frågan om avskogning, för att beslutsfattare lättare ska kunna skapa sig en helhetssyn och anta strategier på olika geografiska nivåer och med olika tidsperspektiv. </w:t>
      </w:r>
    </w:p>
    <w:p w14:paraId="5B974A49" w14:textId="77777777" w:rsidR="00DB561E" w:rsidRPr="00C33D6A" w:rsidRDefault="00DB561E" w:rsidP="00DB561E">
      <w:pPr>
        <w:rPr>
          <w:rFonts w:ascii="Calibri" w:hAnsi="Calibri" w:cs="Calibri"/>
          <w:sz w:val="24"/>
          <w:szCs w:val="24"/>
        </w:rPr>
      </w:pPr>
      <w:r w:rsidRPr="00C33D6A">
        <w:rPr>
          <w:rFonts w:ascii="Calibri" w:hAnsi="Calibri" w:cs="Calibri"/>
          <w:sz w:val="24"/>
          <w:szCs w:val="24"/>
        </w:rPr>
        <w:t xml:space="preserve">I rapporten efterfrågas ett hållbart skogsbruk som integrerar och tar full hänsyn till den varierande och konkurrerande användningen av skogar och träd samt olika intressenters varierande och ibland oförenliga intressen, behov och rättigheter. Ett hållbart skogsbruk kräver att det inrättas sektorsöverskridande styrningsmekanismer på olika nivåer som 1) gör det möjligt för berörda intressenter, särskilt skogsberoende urinvånare och lokalsamhällen, att bli fullt delaktiga, 2) lyfter fram skogarnas och trädens olika funktioner (t.ex. trä- och livsmedelsproduktion, bevarande av den biologiska mångfalden samt sociala och kulturella fördelar), 3) överväger kort- och långsiktiga mål och 4) identifierar och motverkar konflikter mellan intressenter.  </w:t>
      </w:r>
    </w:p>
    <w:p w14:paraId="5609B0DA" w14:textId="77777777" w:rsidR="00DB561E" w:rsidRPr="00C33D6A" w:rsidRDefault="00DB561E" w:rsidP="00DB561E">
      <w:pPr>
        <w:rPr>
          <w:rFonts w:ascii="Calibri" w:hAnsi="Calibri" w:cs="Calibri"/>
          <w:sz w:val="24"/>
          <w:szCs w:val="24"/>
        </w:rPr>
      </w:pPr>
      <w:r w:rsidRPr="00C33D6A">
        <w:rPr>
          <w:rFonts w:ascii="Calibri" w:hAnsi="Calibri" w:cs="Calibri"/>
          <w:sz w:val="24"/>
          <w:szCs w:val="24"/>
        </w:rPr>
        <w:t xml:space="preserve">HLPE har sedan sitt inrättande publicerat 11 rapporter, och håller successivt på att bygga upp en global bild och en omfattande analys av </w:t>
      </w:r>
      <w:r w:rsidR="00DA2AC1" w:rsidRPr="00C33D6A">
        <w:rPr>
          <w:rFonts w:ascii="Calibri" w:hAnsi="Calibri" w:cs="Calibri"/>
          <w:sz w:val="24"/>
          <w:szCs w:val="24"/>
        </w:rPr>
        <w:t>tryggad livsmedelsförsörjning och nutrition</w:t>
      </w:r>
      <w:r w:rsidRPr="00C33D6A">
        <w:rPr>
          <w:rFonts w:ascii="Calibri" w:hAnsi="Calibri" w:cs="Calibri"/>
          <w:sz w:val="24"/>
          <w:szCs w:val="24"/>
        </w:rPr>
        <w:t xml:space="preserve"> och de bakomliggande faktorerna. Den här rapporten om hållbart skogsbruk är en uppföljning av rapporten om fiske och vattenbruk (2014) och rapporten om hållbart jordbruk </w:t>
      </w:r>
      <w:r w:rsidRPr="00C33D6A">
        <w:rPr>
          <w:rFonts w:ascii="Calibri" w:hAnsi="Calibri" w:cs="Calibri"/>
          <w:sz w:val="24"/>
          <w:szCs w:val="24"/>
        </w:rPr>
        <w:lastRenderedPageBreak/>
        <w:t xml:space="preserve">(2016). Med den slutför HLPE sin analys av </w:t>
      </w:r>
      <w:r w:rsidR="00DA2AC1" w:rsidRPr="00C33D6A">
        <w:rPr>
          <w:rFonts w:ascii="Calibri" w:hAnsi="Calibri" w:cs="Calibri"/>
          <w:sz w:val="24"/>
          <w:szCs w:val="24"/>
        </w:rPr>
        <w:t>tryggad livsmedelsförsörjning och nutrition</w:t>
      </w:r>
      <w:r w:rsidRPr="00C33D6A">
        <w:rPr>
          <w:rFonts w:ascii="Calibri" w:hAnsi="Calibri" w:cs="Calibri"/>
          <w:sz w:val="24"/>
          <w:szCs w:val="24"/>
        </w:rPr>
        <w:t xml:space="preserve"> ur ett sektorsperspektiv. De tre sektorerna har vissa saker gemensamt när det gäller hur de bidrar till en </w:t>
      </w:r>
      <w:r w:rsidR="00DA2AC1" w:rsidRPr="00C33D6A">
        <w:rPr>
          <w:rFonts w:ascii="Calibri" w:hAnsi="Calibri" w:cs="Calibri"/>
          <w:sz w:val="24"/>
          <w:szCs w:val="24"/>
        </w:rPr>
        <w:t>tryggad livsmedelsförsörjning och nutrition</w:t>
      </w:r>
      <w:r w:rsidRPr="00C33D6A">
        <w:rPr>
          <w:rFonts w:ascii="Calibri" w:hAnsi="Calibri" w:cs="Calibri"/>
          <w:sz w:val="24"/>
          <w:szCs w:val="24"/>
        </w:rPr>
        <w:t xml:space="preserve">. De är en direkt källa till livsmedel, de genererar inkomst och sysselsättning för många människor, de förvaltar och påverkar naturresurser och de väcker sociala och miljörelaterade frågor. Dessa HLPE-rapporter lyfter också fram det ömsesidiga beroendet mellan de tre sektorerna, som konkurrerar med varandra om naturresurser – framför allt om mark och vatten. I rapporterna efterfrågas en integrerad strategi, i synnerhet på landskapsnivå, för att människors aktiviteter på ett bättre sätt ska bidra till att genomdriva Agenda 2030 och rätten att få tillräckligt med mat. Precis som rapporten om vattenbruk belyser den här rapporten avvägningarna – som ibland kan leda till konflikter – mellan intressenter med olika rättigheter, behov och intressen. Den lyfter fram behovet av att integrera olika geografiska nivåer och tidsperspektiv för att hantera lokala och globala utmaningar på ett sätt som effektivt bidrar till </w:t>
      </w:r>
      <w:r w:rsidR="00DA2AC1" w:rsidRPr="00C33D6A">
        <w:rPr>
          <w:rFonts w:ascii="Calibri" w:hAnsi="Calibri" w:cs="Calibri"/>
          <w:sz w:val="24"/>
          <w:szCs w:val="24"/>
        </w:rPr>
        <w:t>tryggad livsmedelsförsörjning och nutrition</w:t>
      </w:r>
      <w:r w:rsidRPr="00C33D6A">
        <w:rPr>
          <w:rFonts w:ascii="Calibri" w:hAnsi="Calibri" w:cs="Calibri"/>
          <w:sz w:val="24"/>
          <w:szCs w:val="24"/>
        </w:rPr>
        <w:t xml:space="preserve">.  </w:t>
      </w:r>
    </w:p>
    <w:p w14:paraId="4CD28F55" w14:textId="77777777" w:rsidR="00DB561E" w:rsidRPr="00C33D6A" w:rsidRDefault="00DB561E" w:rsidP="00DB561E">
      <w:pPr>
        <w:rPr>
          <w:rFonts w:ascii="Calibri" w:hAnsi="Calibri" w:cs="Calibri"/>
          <w:sz w:val="24"/>
          <w:szCs w:val="24"/>
        </w:rPr>
      </w:pPr>
      <w:r w:rsidRPr="00C33D6A">
        <w:rPr>
          <w:rFonts w:ascii="Calibri" w:hAnsi="Calibri" w:cs="Calibri"/>
          <w:sz w:val="24"/>
          <w:szCs w:val="24"/>
        </w:rPr>
        <w:t xml:space="preserve">Den här rapporten bygger på de viktiga forskningsprogram som drivs av International Union of Forest Research Organizations (IUFRO) och dess många internationella och nationella medlemmar, Center for International Forestry Research (CIFOR) och World Agroforestry Centre (ICRAF) samt på forskningsprogrammet CGIAR Research Program on Forests, Trees and Agroforestry. HLPE berömmer FAO:s arbete med att samordna utarbetandet av den globala skogsresursutvärderingen, med stöd av internationella och nationella organisationer och ett nätverk av nationella korrespondenter. HLPE uppmuntrar FAO att fortsätta sitt arbete med att integrera frågor som rör </w:t>
      </w:r>
      <w:r w:rsidR="00DA2AC1" w:rsidRPr="00C33D6A">
        <w:rPr>
          <w:rFonts w:ascii="Calibri" w:hAnsi="Calibri" w:cs="Calibri"/>
          <w:sz w:val="24"/>
          <w:szCs w:val="24"/>
        </w:rPr>
        <w:t>tryggad livsmedelsförsörjning och nutrition</w:t>
      </w:r>
      <w:r w:rsidRPr="00C33D6A">
        <w:rPr>
          <w:rFonts w:ascii="Calibri" w:hAnsi="Calibri" w:cs="Calibri"/>
          <w:sz w:val="24"/>
          <w:szCs w:val="24"/>
        </w:rPr>
        <w:t xml:space="preserve">, framför allt genom att ta fram kvalitativa uppgifter om skogsrelaterad informell verksamhet, exempelvis insamlande av andra skogsprodukter än trä. HLPE anser att hela forsknings- och kunskapssamfundet fortfarande har mycket kvar att göra när det gäller att öka medvetenheten och bygga politiskt relevant kunskap om skogarnas, trädens och skogsjordbrukets direkta och indirekta bidrag till hållbar utveckling och </w:t>
      </w:r>
      <w:r w:rsidR="00DA2AC1" w:rsidRPr="00C33D6A">
        <w:rPr>
          <w:rFonts w:ascii="Calibri" w:hAnsi="Calibri" w:cs="Calibri"/>
          <w:sz w:val="24"/>
          <w:szCs w:val="24"/>
        </w:rPr>
        <w:t>tryggad livsmedelsförsörjning och nutrition</w:t>
      </w:r>
      <w:r w:rsidRPr="00C33D6A">
        <w:rPr>
          <w:rFonts w:ascii="Calibri" w:hAnsi="Calibri" w:cs="Calibri"/>
          <w:sz w:val="24"/>
          <w:szCs w:val="24"/>
        </w:rPr>
        <w:t xml:space="preserve">. </w:t>
      </w:r>
    </w:p>
    <w:p w14:paraId="44D19E8C" w14:textId="77777777" w:rsidR="00DB561E" w:rsidRPr="00C33D6A" w:rsidRDefault="00DB561E" w:rsidP="00DB561E">
      <w:pPr>
        <w:rPr>
          <w:rFonts w:ascii="Calibri" w:hAnsi="Calibri" w:cs="Calibri"/>
          <w:sz w:val="24"/>
          <w:szCs w:val="24"/>
        </w:rPr>
      </w:pPr>
      <w:r w:rsidRPr="00C33D6A">
        <w:rPr>
          <w:rFonts w:ascii="Calibri" w:hAnsi="Calibri" w:cs="Calibri"/>
          <w:sz w:val="24"/>
          <w:szCs w:val="24"/>
        </w:rPr>
        <w:t xml:space="preserve">*** </w:t>
      </w:r>
    </w:p>
    <w:p w14:paraId="38BC4590" w14:textId="77777777" w:rsidR="00DB561E" w:rsidRPr="00C33D6A" w:rsidRDefault="00DB561E" w:rsidP="00DB561E">
      <w:pPr>
        <w:rPr>
          <w:rFonts w:ascii="Calibri" w:hAnsi="Calibri" w:cs="Calibri"/>
          <w:sz w:val="24"/>
          <w:szCs w:val="24"/>
        </w:rPr>
      </w:pPr>
      <w:r w:rsidRPr="00C33D6A">
        <w:rPr>
          <w:rFonts w:ascii="Calibri" w:hAnsi="Calibri" w:cs="Calibri"/>
          <w:sz w:val="24"/>
          <w:szCs w:val="24"/>
        </w:rPr>
        <w:t xml:space="preserve">På styrkommitténs vägnar vill jag tacka samtliga experter som har deltagit i utarbetandet av den här rapporten för deras arbete och engagemang. Jag vill särskilt tacka projektgruppens ledare Terence Sunderland (Storbritannien) och följande medlemmar av projektgruppen: Fernande Abanda (Kamerun), Ronnie de Camino Velozo (Chile), Patrick Matakala (Zambia), Peter May (Brasilien), Anatoly Petrov (Ryssland), Bronwen Powell (Kanada), Bhaskar Vira (Indien) och Camilla Widmark (Sverige).  </w:t>
      </w:r>
    </w:p>
    <w:p w14:paraId="29C583F3" w14:textId="77777777" w:rsidR="00DB561E" w:rsidRPr="00C33D6A" w:rsidRDefault="00DB561E" w:rsidP="00DB561E">
      <w:pPr>
        <w:rPr>
          <w:rFonts w:ascii="Calibri" w:hAnsi="Calibri" w:cs="Calibri"/>
          <w:sz w:val="24"/>
          <w:szCs w:val="24"/>
        </w:rPr>
      </w:pPr>
      <w:r w:rsidRPr="00C33D6A">
        <w:rPr>
          <w:rFonts w:ascii="Calibri" w:hAnsi="Calibri" w:cs="Calibri"/>
          <w:sz w:val="24"/>
          <w:szCs w:val="24"/>
        </w:rPr>
        <w:t xml:space="preserve">I arbetet med rapporten har vi också haft stor hjälp av förslag från externa peer reviewers och av kommentarer från en stor mängd experter och institutioner, både i fråga om rapportens omfattning och det första utkastet av rapporten.  </w:t>
      </w:r>
    </w:p>
    <w:p w14:paraId="1963C491" w14:textId="77777777" w:rsidR="00DB561E" w:rsidRPr="00C33D6A" w:rsidRDefault="00DB561E" w:rsidP="00DB561E">
      <w:pPr>
        <w:rPr>
          <w:rFonts w:ascii="Calibri" w:hAnsi="Calibri" w:cs="Calibri"/>
          <w:sz w:val="24"/>
          <w:szCs w:val="24"/>
        </w:rPr>
      </w:pPr>
      <w:r w:rsidRPr="00C33D6A">
        <w:rPr>
          <w:rFonts w:ascii="Calibri" w:hAnsi="Calibri" w:cs="Calibri"/>
          <w:sz w:val="24"/>
          <w:szCs w:val="24"/>
        </w:rPr>
        <w:lastRenderedPageBreak/>
        <w:t xml:space="preserve">Jag vill ge en eloge till HLPE:s sekretariat och tacka dem för deras ovärderliga stöd i vårt arbete.  </w:t>
      </w:r>
    </w:p>
    <w:p w14:paraId="2378A680" w14:textId="77777777" w:rsidR="00DB561E" w:rsidRPr="00C33D6A" w:rsidRDefault="00DB561E" w:rsidP="00DB561E">
      <w:pPr>
        <w:rPr>
          <w:rFonts w:ascii="Calibri" w:hAnsi="Calibri" w:cs="Calibri"/>
          <w:sz w:val="24"/>
          <w:szCs w:val="24"/>
        </w:rPr>
      </w:pPr>
      <w:r w:rsidRPr="00C33D6A">
        <w:rPr>
          <w:rFonts w:ascii="Calibri" w:hAnsi="Calibri" w:cs="Calibri"/>
          <w:sz w:val="24"/>
          <w:szCs w:val="24"/>
        </w:rPr>
        <w:t xml:space="preserve">Sist men inte minst vill jag tacka de operativa partner som stöder HLPE:s arbete på ett helt oberoende sätt.  </w:t>
      </w:r>
    </w:p>
    <w:p w14:paraId="66983C56" w14:textId="77777777" w:rsidR="00DB561E" w:rsidRPr="00C33D6A" w:rsidRDefault="00DB561E" w:rsidP="00DB561E">
      <w:pPr>
        <w:rPr>
          <w:rFonts w:ascii="Calibri" w:hAnsi="Calibri" w:cs="Calibri"/>
          <w:sz w:val="24"/>
          <w:szCs w:val="24"/>
        </w:rPr>
      </w:pPr>
      <w:r w:rsidRPr="00C33D6A">
        <w:rPr>
          <w:rFonts w:ascii="Calibri" w:hAnsi="Calibri" w:cs="Calibri"/>
          <w:sz w:val="24"/>
          <w:szCs w:val="24"/>
        </w:rPr>
        <w:t xml:space="preserve">Patrick Caron </w:t>
      </w:r>
    </w:p>
    <w:p w14:paraId="794FA626" w14:textId="77777777" w:rsidR="00DB561E" w:rsidRPr="00C33D6A" w:rsidRDefault="00DB561E" w:rsidP="00DB561E">
      <w:pPr>
        <w:rPr>
          <w:rFonts w:ascii="Calibri" w:hAnsi="Calibri" w:cs="Calibri"/>
          <w:sz w:val="24"/>
          <w:szCs w:val="24"/>
        </w:rPr>
      </w:pPr>
      <w:r w:rsidRPr="00C33D6A">
        <w:rPr>
          <w:rFonts w:ascii="Calibri" w:hAnsi="Calibri" w:cs="Calibri"/>
          <w:sz w:val="24"/>
          <w:szCs w:val="24"/>
        </w:rPr>
        <w:t>Ordförande i HLPE:s styrkommitté, 15 juni 2017</w:t>
      </w:r>
    </w:p>
    <w:p w14:paraId="7FA60A1E" w14:textId="6289BA7C" w:rsidR="00C33D6A" w:rsidRDefault="00C33D6A">
      <w:pPr>
        <w:rPr>
          <w:rFonts w:ascii="Calibri" w:hAnsi="Calibri" w:cs="Calibri"/>
          <w:sz w:val="24"/>
          <w:szCs w:val="24"/>
        </w:rPr>
      </w:pPr>
      <w:r>
        <w:rPr>
          <w:rFonts w:ascii="Calibri" w:hAnsi="Calibri" w:cs="Calibri"/>
          <w:sz w:val="24"/>
          <w:szCs w:val="24"/>
        </w:rPr>
        <w:br w:type="page"/>
      </w:r>
    </w:p>
    <w:p w14:paraId="3F331B09" w14:textId="77777777" w:rsidR="00117AEB" w:rsidRPr="00C33D6A" w:rsidRDefault="00106601" w:rsidP="00C33D6A">
      <w:pPr>
        <w:pStyle w:val="Rubrik2utannumrering"/>
        <w:rPr>
          <w:rFonts w:cs="Calibri"/>
          <w:sz w:val="28"/>
          <w:szCs w:val="28"/>
        </w:rPr>
      </w:pPr>
      <w:r w:rsidRPr="00C33D6A">
        <w:rPr>
          <w:sz w:val="28"/>
          <w:szCs w:val="28"/>
        </w:rPr>
        <w:lastRenderedPageBreak/>
        <w:t>SAMMANFATTNING</w:t>
      </w:r>
    </w:p>
    <w:p w14:paraId="26A1076E" w14:textId="77777777" w:rsidR="00117AEB" w:rsidRPr="00DB561E" w:rsidRDefault="00117AEB" w:rsidP="00F2348B">
      <w:pPr>
        <w:pStyle w:val="Rubrik3utannumrering"/>
        <w:rPr>
          <w:b/>
        </w:rPr>
      </w:pPr>
      <w:r>
        <w:rPr>
          <w:b/>
        </w:rPr>
        <w:t xml:space="preserve">SKOGAR, TRÄD OCH </w:t>
      </w:r>
      <w:r w:rsidR="00DA2AC1">
        <w:rPr>
          <w:b/>
        </w:rPr>
        <w:t>TRYGGAD LIVSMEDELSFÖRSÖRJNING OCH NUTRITION</w:t>
      </w:r>
      <w:r>
        <w:rPr>
          <w:b/>
        </w:rPr>
        <w:t xml:space="preserve">: OMFATTNING OCH TANKERAM </w:t>
      </w:r>
    </w:p>
    <w:p w14:paraId="0AA6D4AA" w14:textId="77777777" w:rsidR="00117AEB" w:rsidRPr="00117AEB" w:rsidRDefault="00117AEB" w:rsidP="00117AEB">
      <w:pPr>
        <w:pStyle w:val="Default"/>
        <w:spacing w:after="133"/>
        <w:rPr>
          <w:rFonts w:ascii="Calibri" w:hAnsi="Calibri" w:cs="Calibri"/>
        </w:rPr>
      </w:pPr>
      <w:r>
        <w:rPr>
          <w:rFonts w:ascii="Calibri" w:hAnsi="Calibri"/>
        </w:rPr>
        <w:t xml:space="preserve">1. Det finns många definitioner av skog som återspeglar både skogsekosystemens mångfald och människors varierande uppfattning om och användning av skog. Termen ”skog” används för att beskriva en bred uppsättning ekosystem, från glest växande träd i torra landskap till gammelskogarnas täta, kompakta skogstäcke i områden med hög nederbörd. En skog kan vara en administrativ enhet, en typ av växttäcke eller en typ av markanvändning. Växttäcke avser markens fysiska utseende, medan markanvändning avser människors användning av marken för olika syften (exempelvis produktion, bevarande och kulturella eller religiösa värden). FAO:s globala skogsresursutvärdering (Global Forest Resources Assessment) har bidragit till att harmonisera de strategier som används för att definiera och kategorisera skogar för statistiska ändamål på global nivå. I den globala skogsresursutvärderingen används en definition av skog med minimigränser för trädhöjd (5 meter), krontäckning (10 procent) och areal (0,5 hektar). </w:t>
      </w:r>
    </w:p>
    <w:p w14:paraId="3D393F19" w14:textId="77777777" w:rsidR="00117AEB" w:rsidRPr="00117AEB" w:rsidRDefault="00117AEB" w:rsidP="00117AEB">
      <w:pPr>
        <w:pStyle w:val="Default"/>
        <w:spacing w:after="133"/>
        <w:rPr>
          <w:rFonts w:ascii="Calibri" w:hAnsi="Calibri" w:cs="Calibri"/>
        </w:rPr>
      </w:pPr>
      <w:r>
        <w:rPr>
          <w:rFonts w:ascii="Calibri" w:hAnsi="Calibri"/>
        </w:rPr>
        <w:t xml:space="preserve">2. Definitionen i den globala skogsresursutvärderingen omfattar mycket varierande typer av skog. Dessutom växer träd i olika typer av landskap. Mot bakgrund av denna mångfald föreslås för den här rapportens syften en typologi för skogar och trädbevuxna landskap med utgångspunkt i den globala skogsresursutvärderingens statistiska kategorier. Den här typologin använder uppgifter från den globala skogsresursutvärderingen och bygger på förvaltningsgrad, eftersom det är det kriterium som mest påverkar skogarnas bidrag till </w:t>
      </w:r>
      <w:r w:rsidR="00DA2AC1">
        <w:rPr>
          <w:rFonts w:ascii="Calibri" w:hAnsi="Calibri"/>
        </w:rPr>
        <w:t>tryggad livsmedelsförsörjning och nutrition</w:t>
      </w:r>
      <w:r>
        <w:rPr>
          <w:rFonts w:ascii="Calibri" w:hAnsi="Calibri"/>
        </w:rPr>
        <w:t xml:space="preserve"> och som lättare kan påverkas på politisk väg. Typologin skiljer mellan tre breda kategorier som betraktas som skog enligt den globala skogsresursutvärderingens definition (primär naturskog [eller gammelskog], sekundär naturskog och planterad skog). En fjärde kategori omfattar annan skogsmark som inte klassificeras som jordbruksmark och som har en krontäckning på 5–10 procent. Den femte kategorin kallas ”träd utanför skogar”. Dessa olika skogstyper kan inte alltid avgränsas på ett enkelt sätt, eftersom de befinner sig på ett spektrum av bruksintensitet längs skogens utvecklingskurva</w:t>
      </w:r>
      <w:r>
        <w:rPr>
          <w:rStyle w:val="Fotnotsreferens"/>
          <w:rFonts w:ascii="Calibri" w:hAnsi="Calibri"/>
        </w:rPr>
        <w:footnoteReference w:id="1"/>
      </w:r>
      <w:r>
        <w:rPr>
          <w:rFonts w:ascii="Calibri" w:hAnsi="Calibri"/>
        </w:rPr>
        <w:t xml:space="preserve">. </w:t>
      </w:r>
    </w:p>
    <w:p w14:paraId="5836648B" w14:textId="77777777" w:rsidR="00117AEB" w:rsidRPr="00117AEB" w:rsidRDefault="00117AEB" w:rsidP="00117AEB">
      <w:pPr>
        <w:pStyle w:val="Default"/>
        <w:spacing w:after="133"/>
        <w:rPr>
          <w:rFonts w:ascii="Calibri" w:hAnsi="Calibri" w:cs="Calibri"/>
        </w:rPr>
      </w:pPr>
      <w:r>
        <w:rPr>
          <w:rFonts w:ascii="Calibri" w:hAnsi="Calibri"/>
        </w:rPr>
        <w:t xml:space="preserve">3. Kategorin ”träd utanför skogar” omfattar de många olika typerna av jordbrukssystem med träd. Detta inbegriper främst skogsplanteringar inom jordbruket, exempelvis oljepalmer, olivträd och fruktodlingar (frukt- och nötträd), samt mycket varierande system för skogsjordbruk och mosaikliknande landskap med skogsbeklädda ytor som är för små för att betraktas som skogar i statistisk mening. Termen ”skogsjordbruk” avser system och tekniker där träd avsiktligt används på samma brukningsenhet som jordbruksgrödor och/eller djur, antingen genom delat utrymme eller genom växelvis användning. Trots sin mångfald har alla dessa system gemensamt att träden blir tätt kopplade till jordbruket och livsmedelsproduktionen. </w:t>
      </w:r>
    </w:p>
    <w:p w14:paraId="39BC06C2" w14:textId="77777777" w:rsidR="00117AEB" w:rsidRPr="00117AEB" w:rsidRDefault="00117AEB" w:rsidP="00117AEB">
      <w:pPr>
        <w:pStyle w:val="Default"/>
        <w:spacing w:after="133"/>
        <w:rPr>
          <w:rFonts w:ascii="Calibri" w:hAnsi="Calibri" w:cs="Calibri"/>
        </w:rPr>
      </w:pPr>
      <w:r>
        <w:rPr>
          <w:rFonts w:ascii="Calibri" w:hAnsi="Calibri"/>
        </w:rPr>
        <w:t xml:space="preserve">4. Alla människor som i någon mån är beroende av skogar och träd för sitt uppehälle kan betraktas som skogsberoende. Mellan 1 och 1,7 miljarder människor kan betraktas som skogsberoende om man räknar med urinvånare som främst är beroende av skogen för </w:t>
      </w:r>
      <w:r>
        <w:rPr>
          <w:rFonts w:ascii="Calibri" w:hAnsi="Calibri"/>
        </w:rPr>
        <w:lastRenderedPageBreak/>
        <w:t xml:space="preserve">självförsörjning, landsbygdsbefolkning som lever i skogar eller deras utkanter, småbrukare som odlar träd eller brukar skogsbeklädd mark samt arbetstagare i formella eller informella skogsbaserade företag. </w:t>
      </w:r>
    </w:p>
    <w:p w14:paraId="7D5C0748" w14:textId="77777777" w:rsidR="00117AEB" w:rsidRDefault="00117AEB" w:rsidP="00117AEB">
      <w:pPr>
        <w:pStyle w:val="Default"/>
        <w:rPr>
          <w:rFonts w:ascii="Calibri" w:hAnsi="Calibri" w:cs="Calibri"/>
        </w:rPr>
      </w:pPr>
      <w:r>
        <w:rPr>
          <w:rFonts w:ascii="Calibri" w:hAnsi="Calibri"/>
        </w:rPr>
        <w:t xml:space="preserve">5. I den här rapporten tolkas begreppet skogsbruk mycket brett och omfattar alla beslut som rör skogsbruk, i alla typer av system eller landskap som inbegriper träd. Detta omfattar bland annat tre breda typer av beslut: om det ska finnas träd eller inte i ett visst område, vilka typer av skogar och träd som i så fall ska finnas och hur dessa ska förvaltas. Syftet med ett hållbart skogsbruk har av FN:s generalförsamling definierats som att upprätthålla och förbättra det ekonomiska, sociala och miljömässiga värdet av alla skogstyper, för nuvarande och kommande generationers välbefinnande. Det hållbara skogsbruket bygger på två grundförutsättningar: för det första att ekosystemen har potential att förnya sig själva och för det andra att de ekonomiska aktiviteter och sociala uppfattningar eller värderingar som definierar människors samspel med miljön är val som kan ändras eller anpassas för att trygga ekosystemens långsiktiga produktivitet och välbefinnande. </w:t>
      </w:r>
    </w:p>
    <w:p w14:paraId="4E9047F2" w14:textId="77777777" w:rsidR="00106601" w:rsidRDefault="00106601" w:rsidP="00117AEB">
      <w:pPr>
        <w:pStyle w:val="Default"/>
        <w:rPr>
          <w:rFonts w:ascii="Calibri" w:hAnsi="Calibri" w:cs="Calibri"/>
        </w:rPr>
      </w:pPr>
    </w:p>
    <w:p w14:paraId="1024F33F" w14:textId="77777777" w:rsidR="00106601" w:rsidRPr="00117AEB" w:rsidRDefault="00106601" w:rsidP="00106601">
      <w:pPr>
        <w:pStyle w:val="Default"/>
        <w:pageBreakBefore/>
        <w:rPr>
          <w:rFonts w:ascii="Calibri" w:hAnsi="Calibri" w:cs="Calibri"/>
          <w:color w:val="auto"/>
        </w:rPr>
      </w:pPr>
      <w:r>
        <w:rPr>
          <w:rFonts w:ascii="Calibri" w:hAnsi="Calibri"/>
          <w:b/>
          <w:color w:val="auto"/>
        </w:rPr>
        <w:lastRenderedPageBreak/>
        <w:t xml:space="preserve">SKOGARNAS OCH TRÄDENS BIDRAG TILL </w:t>
      </w:r>
      <w:r w:rsidR="00DA2AC1">
        <w:rPr>
          <w:rFonts w:ascii="Calibri" w:hAnsi="Calibri"/>
          <w:b/>
          <w:color w:val="auto"/>
        </w:rPr>
        <w:t>TRYGGAD LIVSMEDELSFÖRSÖRJNING OCH NUTRITION</w:t>
      </w:r>
      <w:r>
        <w:rPr>
          <w:rFonts w:ascii="Calibri" w:hAnsi="Calibri"/>
          <w:b/>
          <w:color w:val="auto"/>
        </w:rPr>
        <w:t xml:space="preserve"> </w:t>
      </w:r>
    </w:p>
    <w:p w14:paraId="749473AD" w14:textId="77777777" w:rsidR="00106601" w:rsidRPr="00117AEB" w:rsidRDefault="00106601" w:rsidP="00106601">
      <w:pPr>
        <w:pStyle w:val="Default"/>
        <w:spacing w:after="131"/>
        <w:rPr>
          <w:rFonts w:ascii="Calibri" w:hAnsi="Calibri" w:cs="Calibri"/>
          <w:color w:val="auto"/>
        </w:rPr>
      </w:pPr>
      <w:r>
        <w:rPr>
          <w:rFonts w:ascii="Calibri" w:hAnsi="Calibri"/>
          <w:color w:val="auto"/>
        </w:rPr>
        <w:t xml:space="preserve">6. Skogar och träd bidrar till </w:t>
      </w:r>
      <w:r w:rsidR="00DA2AC1">
        <w:rPr>
          <w:rFonts w:ascii="Calibri" w:hAnsi="Calibri"/>
          <w:color w:val="auto"/>
        </w:rPr>
        <w:t>tryggad livsmedelsförsörjning och nutrition</w:t>
      </w:r>
      <w:r>
        <w:rPr>
          <w:rFonts w:ascii="Calibri" w:hAnsi="Calibri"/>
          <w:color w:val="auto"/>
        </w:rPr>
        <w:t xml:space="preserve"> på fyra huvudsakliga sätt: som direkt källa till livsmedel, som energikälla (i synnerhet för matlagning), som källa till inkomst och sysselsättning och som källa till ekosystemtjänster som är avgörande för </w:t>
      </w:r>
      <w:r w:rsidR="00DA2AC1">
        <w:rPr>
          <w:rFonts w:ascii="Calibri" w:hAnsi="Calibri"/>
          <w:color w:val="auto"/>
        </w:rPr>
        <w:t>tryggad livsmedelsförsörjning och nutrition</w:t>
      </w:r>
      <w:r>
        <w:rPr>
          <w:rFonts w:ascii="Calibri" w:hAnsi="Calibri"/>
          <w:color w:val="auto"/>
        </w:rPr>
        <w:t xml:space="preserve"> samt människors hälsa och välbefinnande. </w:t>
      </w:r>
    </w:p>
    <w:p w14:paraId="7E26B219" w14:textId="77777777" w:rsidR="00117AEB" w:rsidRPr="00117AEB" w:rsidRDefault="00117AEB" w:rsidP="00117AEB">
      <w:pPr>
        <w:pStyle w:val="Default"/>
        <w:rPr>
          <w:rFonts w:ascii="Calibri" w:hAnsi="Calibri" w:cs="Calibri"/>
          <w:color w:val="auto"/>
        </w:rPr>
      </w:pPr>
    </w:p>
    <w:p w14:paraId="2D8B6BD5" w14:textId="77777777" w:rsidR="00117AEB" w:rsidRPr="00117AEB" w:rsidRDefault="00117AEB" w:rsidP="00117AEB">
      <w:pPr>
        <w:pStyle w:val="Default"/>
        <w:spacing w:after="131"/>
        <w:rPr>
          <w:rFonts w:ascii="Calibri" w:hAnsi="Calibri" w:cs="Calibri"/>
          <w:color w:val="auto"/>
        </w:rPr>
      </w:pPr>
      <w:r>
        <w:rPr>
          <w:rFonts w:ascii="Calibri" w:hAnsi="Calibri"/>
          <w:color w:val="auto"/>
        </w:rPr>
        <w:t xml:space="preserve">7. </w:t>
      </w:r>
      <w:r>
        <w:rPr>
          <w:rFonts w:ascii="Calibri" w:hAnsi="Calibri"/>
          <w:i/>
          <w:color w:val="auto"/>
          <w:u w:val="single"/>
        </w:rPr>
        <w:t>Direkt källa till livsmedel</w:t>
      </w:r>
      <w:r>
        <w:rPr>
          <w:rFonts w:ascii="Calibri" w:hAnsi="Calibri"/>
          <w:i/>
          <w:color w:val="auto"/>
        </w:rPr>
        <w:t xml:space="preserve">: </w:t>
      </w:r>
      <w:r>
        <w:rPr>
          <w:rFonts w:ascii="Calibri" w:hAnsi="Calibri"/>
          <w:color w:val="auto"/>
        </w:rPr>
        <w:t xml:space="preserve">Livsmedel från skogen har visserligen beräknats motsvara endast 0,6 procent av den globala försörjningen av livsmedelsenergi, men de bidrar på ett betydande sätt till en kvalitativ och varierad kost och är avgörande för </w:t>
      </w:r>
      <w:r w:rsidR="00DA2AC1">
        <w:rPr>
          <w:rFonts w:ascii="Calibri" w:hAnsi="Calibri"/>
          <w:color w:val="auto"/>
        </w:rPr>
        <w:t>tryggad livsmedelsförsörjning och nutrition</w:t>
      </w:r>
      <w:r>
        <w:rPr>
          <w:rFonts w:ascii="Calibri" w:hAnsi="Calibri"/>
          <w:color w:val="auto"/>
        </w:rPr>
        <w:t xml:space="preserve"> i skogsberoende samhällen. Genom att nå lokala, nationella och internationella marknader bidrar livsmedel från skogen också till en varierad och balanserad kost även för personer som bor långt ifrån skogsområdena. Skogar och träd används också som en källa till foder av jordbrukare och pastoralister i traditionella extensiva system och i mer intensiva silvopastoralistiska system. </w:t>
      </w:r>
    </w:p>
    <w:p w14:paraId="58B4A2DE" w14:textId="77777777" w:rsidR="00117AEB" w:rsidRPr="00117AEB" w:rsidRDefault="00117AEB" w:rsidP="00117AEB">
      <w:pPr>
        <w:pStyle w:val="Default"/>
        <w:spacing w:after="131"/>
        <w:rPr>
          <w:rFonts w:ascii="Calibri" w:hAnsi="Calibri" w:cs="Calibri"/>
          <w:color w:val="auto"/>
        </w:rPr>
      </w:pPr>
      <w:r>
        <w:rPr>
          <w:rFonts w:ascii="Calibri" w:hAnsi="Calibri"/>
          <w:color w:val="auto"/>
        </w:rPr>
        <w:t xml:space="preserve">8. </w:t>
      </w:r>
      <w:r>
        <w:rPr>
          <w:rFonts w:ascii="Calibri" w:hAnsi="Calibri"/>
          <w:i/>
          <w:color w:val="auto"/>
          <w:u w:val="single"/>
        </w:rPr>
        <w:t>Energikälla</w:t>
      </w:r>
      <w:r>
        <w:rPr>
          <w:rFonts w:ascii="Calibri" w:hAnsi="Calibri"/>
          <w:i/>
          <w:color w:val="auto"/>
        </w:rPr>
        <w:t xml:space="preserve">: </w:t>
      </w:r>
      <w:r>
        <w:rPr>
          <w:rFonts w:ascii="Calibri" w:hAnsi="Calibri"/>
          <w:color w:val="auto"/>
        </w:rPr>
        <w:t>Trädbränsle</w:t>
      </w:r>
      <w:r>
        <w:rPr>
          <w:rStyle w:val="Fotnotsreferens"/>
          <w:rFonts w:ascii="Calibri" w:hAnsi="Calibri"/>
          <w:color w:val="auto"/>
        </w:rPr>
        <w:footnoteReference w:id="2"/>
      </w:r>
      <w:r>
        <w:rPr>
          <w:rFonts w:ascii="Calibri" w:hAnsi="Calibri"/>
          <w:color w:val="auto"/>
        </w:rPr>
        <w:t xml:space="preserve"> bidrar till 6 procent av den primära energiförsörjningen globalt och till 27 procent av energiförsörjningen i Afrika. Cirka 2,4 miljarder människor – en tredjedel av världens befolkning (och två tredjedelar av hushållen i Afrika) – använder ved som sin huvudsakliga energikälla vid matlagning. Dessutom använder 764 miljoner människor, varav 644 miljoner bor i Asien, trädbränsle för att koka och sterilisera vatten. </w:t>
      </w:r>
    </w:p>
    <w:p w14:paraId="24D90C58" w14:textId="77777777" w:rsidR="00117AEB" w:rsidRPr="00117AEB" w:rsidRDefault="00117AEB" w:rsidP="00117AEB">
      <w:pPr>
        <w:pStyle w:val="Default"/>
        <w:spacing w:after="131"/>
        <w:rPr>
          <w:rFonts w:ascii="Calibri" w:hAnsi="Calibri" w:cs="Calibri"/>
          <w:color w:val="auto"/>
        </w:rPr>
      </w:pPr>
      <w:r>
        <w:rPr>
          <w:rFonts w:ascii="Calibri" w:hAnsi="Calibri"/>
          <w:color w:val="auto"/>
        </w:rPr>
        <w:t xml:space="preserve">9. </w:t>
      </w:r>
      <w:r>
        <w:rPr>
          <w:rFonts w:ascii="Calibri" w:hAnsi="Calibri"/>
          <w:i/>
          <w:color w:val="auto"/>
          <w:u w:val="single"/>
        </w:rPr>
        <w:t>Inkomst och sysselsättning</w:t>
      </w:r>
      <w:r>
        <w:rPr>
          <w:rFonts w:ascii="Calibri" w:hAnsi="Calibri"/>
          <w:i/>
          <w:color w:val="auto"/>
        </w:rPr>
        <w:t xml:space="preserve">: </w:t>
      </w:r>
      <w:r>
        <w:rPr>
          <w:rFonts w:ascii="Calibri" w:hAnsi="Calibri"/>
          <w:color w:val="auto"/>
        </w:rPr>
        <w:t xml:space="preserve">Formella och informella skogsbrukssektorer är också en viktig källa till sysselsättning och inkomst som ofta underskattas, med tanke på den informella sektorns betydelse. År 2011 sysselsatte den formella skogsbrukssektorn uppskattningsvis 13,2 miljoner människor världen över och stod för 0,9 procent av världens BNP. Bakom dessa siffror döljer sig stora skillnader mellan olika länder och en generell underskattning av skogarnas faktiska bidrag till nationalinkomsten, eftersom de inte inbegriper träprodukters mervärde inom industrisektorn eller exempelvis skogarnas bidrag till turism och friluftsliv. Siffrorna omfattar dessutom bara den formella skogsbrukssektorn, och det saknas fortfarande uppgifter för att man helt ska kunna redogöra för informella, skogsrelaterade aktiviteters betydelse när det gäller att generera inkomster och sysselsättning, bland annat genom trädbränsle och insamlande av andra skogsprodukter än trä. </w:t>
      </w:r>
    </w:p>
    <w:p w14:paraId="35BB62D0" w14:textId="77777777" w:rsidR="00117AEB" w:rsidRPr="00117AEB" w:rsidRDefault="00117AEB" w:rsidP="00117AEB">
      <w:pPr>
        <w:pStyle w:val="Default"/>
        <w:spacing w:after="131"/>
        <w:rPr>
          <w:rFonts w:ascii="Calibri" w:hAnsi="Calibri" w:cs="Calibri"/>
          <w:color w:val="auto"/>
        </w:rPr>
      </w:pPr>
      <w:r>
        <w:rPr>
          <w:rFonts w:ascii="Calibri" w:hAnsi="Calibri"/>
          <w:color w:val="auto"/>
        </w:rPr>
        <w:t xml:space="preserve">10. Skogsprodukter som insamlas för försäljning eller självförsörjning kan, i båda fallen, bidra avsevärt till kvinnors och hela deras hushålls tryggade livsmedels- och näringsförsörjning. Det saknas könsuppdelade uppgifter, men det finns studier som tyder på att kvinnor är mindre delaktiga i den formella sektorn och inkomstbringande aktiviteter, samtidigt som de spelar en avgörande roll vid insamlandet av ved och många andra skogsprodukter (med betydande regionala skillnader). </w:t>
      </w:r>
    </w:p>
    <w:p w14:paraId="70CA8D0B" w14:textId="77777777" w:rsidR="00117AEB" w:rsidRDefault="00117AEB" w:rsidP="00117AEB">
      <w:pPr>
        <w:pStyle w:val="Default"/>
        <w:spacing w:after="131"/>
        <w:rPr>
          <w:rFonts w:ascii="Calibri" w:hAnsi="Calibri" w:cs="Calibri"/>
          <w:color w:val="auto"/>
        </w:rPr>
      </w:pPr>
      <w:r>
        <w:rPr>
          <w:rFonts w:ascii="Calibri" w:hAnsi="Calibri"/>
          <w:color w:val="auto"/>
        </w:rPr>
        <w:t xml:space="preserve">11. </w:t>
      </w:r>
      <w:r>
        <w:rPr>
          <w:rFonts w:ascii="Calibri" w:hAnsi="Calibri"/>
          <w:i/>
          <w:color w:val="auto"/>
          <w:u w:val="single"/>
        </w:rPr>
        <w:t>Källa till ekosystemtjänster</w:t>
      </w:r>
      <w:r>
        <w:rPr>
          <w:rFonts w:ascii="Calibri" w:hAnsi="Calibri"/>
          <w:i/>
          <w:color w:val="auto"/>
        </w:rPr>
        <w:t xml:space="preserve">: </w:t>
      </w:r>
      <w:r>
        <w:rPr>
          <w:rFonts w:ascii="Calibri" w:hAnsi="Calibri"/>
          <w:color w:val="auto"/>
        </w:rPr>
        <w:t xml:space="preserve">Skogar och träd bidrar direkt till livsmedelsproduktionen på gårds- och landskapsnivå och i vidare bemärkelse genom att tillhandahålla flera icke-kommersiella ekosystemtjänster som är avgörande för en </w:t>
      </w:r>
      <w:r w:rsidR="00DA2AC1">
        <w:rPr>
          <w:rFonts w:ascii="Calibri" w:hAnsi="Calibri"/>
          <w:color w:val="auto"/>
        </w:rPr>
        <w:t>tryggad livsmedelsförsörjning och nutrition</w:t>
      </w:r>
      <w:r>
        <w:rPr>
          <w:rFonts w:ascii="Calibri" w:hAnsi="Calibri"/>
          <w:color w:val="auto"/>
        </w:rPr>
        <w:t xml:space="preserve"> och hållbar utveckling på lång sikt (exempelvis vattenreglering, markskydd, näringsämnenas kretslopp, bekämpning av skadedjur samt pollinering). Skogarna står för merparten av den biologiska mångfalden, och de spelar en avgörande roll när det gäller att </w:t>
      </w:r>
      <w:r>
        <w:rPr>
          <w:rFonts w:ascii="Calibri" w:hAnsi="Calibri"/>
          <w:color w:val="auto"/>
        </w:rPr>
        <w:lastRenderedPageBreak/>
        <w:t xml:space="preserve">motverka klimatförändringarna på global nivå och bidra till klimatanpassning på gårds-, hushålls- och landskapsnivå samt på bredare front. Produktionssystem som inbegriper skogar, träd och grödor måste uttryckligen ta hänsyn till eventuell konkurrens om näringsämnen, vatten och ljus. </w:t>
      </w:r>
    </w:p>
    <w:p w14:paraId="2591C3C7" w14:textId="77777777" w:rsidR="00106601" w:rsidRPr="00117AEB" w:rsidRDefault="00106601" w:rsidP="00117AEB">
      <w:pPr>
        <w:pStyle w:val="Default"/>
        <w:spacing w:after="131"/>
        <w:rPr>
          <w:rFonts w:ascii="Calibri" w:hAnsi="Calibri" w:cs="Calibri"/>
          <w:color w:val="auto"/>
        </w:rPr>
      </w:pPr>
    </w:p>
    <w:p w14:paraId="6410689B" w14:textId="77777777" w:rsidR="00117AEB" w:rsidRPr="00117AEB" w:rsidRDefault="00117AEB" w:rsidP="00117AEB">
      <w:pPr>
        <w:pStyle w:val="Default"/>
        <w:spacing w:after="131"/>
        <w:rPr>
          <w:rFonts w:ascii="Calibri" w:hAnsi="Calibri" w:cs="Calibri"/>
          <w:color w:val="auto"/>
        </w:rPr>
      </w:pPr>
      <w:r>
        <w:rPr>
          <w:rFonts w:ascii="Calibri" w:hAnsi="Calibri"/>
          <w:color w:val="auto"/>
        </w:rPr>
        <w:t xml:space="preserve">12. </w:t>
      </w:r>
      <w:r>
        <w:rPr>
          <w:rFonts w:ascii="Calibri" w:hAnsi="Calibri"/>
          <w:i/>
          <w:color w:val="auto"/>
          <w:u w:val="single"/>
        </w:rPr>
        <w:t>Människors hälsa och välbefinnande</w:t>
      </w:r>
      <w:r>
        <w:rPr>
          <w:rFonts w:ascii="Calibri" w:hAnsi="Calibri"/>
          <w:i/>
          <w:color w:val="auto"/>
        </w:rPr>
        <w:t xml:space="preserve">: </w:t>
      </w:r>
      <w:r>
        <w:rPr>
          <w:rFonts w:ascii="Calibri" w:hAnsi="Calibri"/>
          <w:color w:val="auto"/>
        </w:rPr>
        <w:t xml:space="preserve">Skogar, trädbaserade jordbrukssystem och skogsbruk påverkar människors hälsa på många olika sätt, bland annat som en källa till livsmedel, medicinalväxter, trädbränsle, rent vatten och inkomst. Empiriska resultat tyder på att skogsmiljöer kan förbättra människors mentala hälsa och minska depression och stress. Skogar kan emellertid också hysa parasiter och sjukdomar som kan påverka människor och husdjur. De viktiga kopplingarna mellan människors, djurs och ekosystems hälsa innefattas av konceptet ”en hälsa”, som lyfter fram behovet av samarbete mellan sektorer. </w:t>
      </w:r>
    </w:p>
    <w:p w14:paraId="6489EECE" w14:textId="77777777" w:rsidR="00AB0F40" w:rsidRPr="00AB0F40" w:rsidRDefault="00117AEB" w:rsidP="00AB0F40">
      <w:pPr>
        <w:pStyle w:val="Default"/>
        <w:rPr>
          <w:rFonts w:ascii="Calibri" w:hAnsi="Calibri" w:cs="Calibri"/>
          <w:color w:val="auto"/>
        </w:rPr>
      </w:pPr>
      <w:r>
        <w:rPr>
          <w:rFonts w:ascii="Calibri" w:hAnsi="Calibri"/>
          <w:color w:val="auto"/>
        </w:rPr>
        <w:t xml:space="preserve">13. </w:t>
      </w:r>
      <w:r>
        <w:rPr>
          <w:rFonts w:ascii="Calibri" w:hAnsi="Calibri"/>
          <w:i/>
          <w:color w:val="auto"/>
          <w:u w:val="single"/>
        </w:rPr>
        <w:t>Motståndskraft och säkerhetsnät</w:t>
      </w:r>
      <w:r>
        <w:rPr>
          <w:rFonts w:ascii="Calibri" w:hAnsi="Calibri"/>
          <w:i/>
          <w:color w:val="auto"/>
        </w:rPr>
        <w:t xml:space="preserve">: </w:t>
      </w:r>
      <w:r>
        <w:rPr>
          <w:rFonts w:ascii="Calibri" w:hAnsi="Calibri"/>
          <w:color w:val="auto"/>
        </w:rPr>
        <w:t xml:space="preserve">Skogar och träd kan spela en avgörande roll när det gäller att stärka motståndskraften, vilket definieras som landskapens, samhällenas och hushållens förmåga att förebygga, motverka och hantera risk samt återhämta sig efter störningar. De bidrar därför avsevärt till stabiliteten, som är den fjärde dimensionen av </w:t>
      </w:r>
      <w:r w:rsidR="00DA2AC1">
        <w:rPr>
          <w:rFonts w:ascii="Calibri" w:hAnsi="Calibri"/>
          <w:color w:val="auto"/>
        </w:rPr>
        <w:t>tryggad livsmedelsförsörjning och nutrition</w:t>
      </w:r>
      <w:r>
        <w:rPr>
          <w:rFonts w:ascii="Calibri" w:hAnsi="Calibri"/>
          <w:color w:val="auto"/>
        </w:rPr>
        <w:t>, genom att fylla en avgörande funktion som skyddsnät under torka, under perioder med magra skördar samt i tider av kris och konflikt. Skogar och träd kan utgöra ett komplement till eller ett substitut för andra källor till livsmedel, inkomst och sysselsättning i perioder av brist. Funktionen som säkerhetsnät är ofta viktig för de mest utsatta grupperna.</w:t>
      </w:r>
    </w:p>
    <w:p w14:paraId="1A9B2F47" w14:textId="77777777" w:rsidR="00AB0F40" w:rsidRDefault="00AB0F40" w:rsidP="00AB0F40">
      <w:pPr>
        <w:pStyle w:val="Default"/>
        <w:rPr>
          <w:rFonts w:ascii="Calibri" w:hAnsi="Calibri" w:cs="Calibri"/>
          <w:color w:val="auto"/>
        </w:rPr>
      </w:pPr>
      <w:r>
        <w:rPr>
          <w:rFonts w:ascii="Calibri" w:hAnsi="Calibri"/>
          <w:color w:val="auto"/>
        </w:rPr>
        <w:t xml:space="preserve">14. Det är viktigt att notera att skogars och träds bidrag till </w:t>
      </w:r>
      <w:r w:rsidR="00DA2AC1">
        <w:rPr>
          <w:rFonts w:ascii="Calibri" w:hAnsi="Calibri"/>
          <w:color w:val="auto"/>
        </w:rPr>
        <w:t>tryggad livsmedelsförsörjning och nutrition</w:t>
      </w:r>
      <w:r>
        <w:rPr>
          <w:rFonts w:ascii="Calibri" w:hAnsi="Calibri"/>
          <w:color w:val="auto"/>
        </w:rPr>
        <w:t xml:space="preserve"> är beroende av en mängd olika interaktioner inom komplexa miljömässiga, ekonomiska och sociala system. Dessa system är ofta uppbyggda på och upprätthålls med en betydande mängd traditionell och inhemsk kunskap.</w:t>
      </w:r>
    </w:p>
    <w:p w14:paraId="4E71737C" w14:textId="77777777" w:rsidR="00AB0F40" w:rsidRPr="00AB0F40" w:rsidRDefault="00AB0F40" w:rsidP="00AB0F40">
      <w:pPr>
        <w:pStyle w:val="Default"/>
        <w:rPr>
          <w:rFonts w:ascii="Calibri" w:hAnsi="Calibri" w:cs="Calibri"/>
          <w:color w:val="auto"/>
        </w:rPr>
      </w:pPr>
    </w:p>
    <w:p w14:paraId="71683AD4" w14:textId="77777777" w:rsidR="00117AEB" w:rsidRPr="00AB0F40" w:rsidRDefault="00416502" w:rsidP="00AB0F40">
      <w:pPr>
        <w:pStyle w:val="Default"/>
        <w:rPr>
          <w:rFonts w:ascii="Calibri" w:hAnsi="Calibri" w:cs="Calibri"/>
          <w:b/>
          <w:color w:val="auto"/>
        </w:rPr>
      </w:pPr>
      <w:r>
        <w:rPr>
          <w:rFonts w:ascii="Calibri" w:hAnsi="Calibri"/>
          <w:b/>
          <w:color w:val="auto"/>
        </w:rPr>
        <w:t xml:space="preserve">Trender inom skogsbruket: </w:t>
      </w:r>
      <w:r w:rsidR="00AB0F40">
        <w:rPr>
          <w:rFonts w:ascii="Calibri" w:hAnsi="Calibri"/>
          <w:b/>
          <w:color w:val="auto"/>
        </w:rPr>
        <w:t xml:space="preserve">utmaningar och möjligheter för </w:t>
      </w:r>
      <w:r w:rsidR="00DA2AC1">
        <w:rPr>
          <w:rFonts w:ascii="Calibri" w:hAnsi="Calibri"/>
          <w:b/>
          <w:color w:val="auto"/>
        </w:rPr>
        <w:t>tryggad livsmedelsförsörjning och nutrition</w:t>
      </w:r>
    </w:p>
    <w:p w14:paraId="46A5CE9A" w14:textId="77777777" w:rsidR="00117AEB" w:rsidRPr="00117AEB" w:rsidRDefault="00117AEB" w:rsidP="00117AEB">
      <w:pPr>
        <w:pStyle w:val="Default"/>
        <w:rPr>
          <w:rFonts w:ascii="Calibri" w:hAnsi="Calibri" w:cs="Calibri"/>
          <w:color w:val="auto"/>
        </w:rPr>
      </w:pPr>
    </w:p>
    <w:p w14:paraId="61F3BFE3" w14:textId="77777777" w:rsidR="00AB0F40" w:rsidRDefault="00AB0F40" w:rsidP="00AB0F40">
      <w:pPr>
        <w:pStyle w:val="Default"/>
        <w:rPr>
          <w:rFonts w:ascii="Calibri" w:hAnsi="Calibri" w:cs="Calibri"/>
          <w:color w:val="auto"/>
        </w:rPr>
      </w:pPr>
      <w:r>
        <w:rPr>
          <w:rFonts w:ascii="Calibri" w:hAnsi="Calibri"/>
          <w:color w:val="auto"/>
        </w:rPr>
        <w:t xml:space="preserve">15. Förändringar i skogstäcke, skogstyper och skogsbruk har betydande inverkan på skogarnas och trädens bidrag till </w:t>
      </w:r>
      <w:r w:rsidR="00DA2AC1">
        <w:rPr>
          <w:rFonts w:ascii="Calibri" w:hAnsi="Calibri"/>
          <w:color w:val="auto"/>
        </w:rPr>
        <w:t>tryggad livsmedelsförsörjning och nutrition</w:t>
      </w:r>
      <w:r>
        <w:rPr>
          <w:rFonts w:ascii="Calibri" w:hAnsi="Calibri"/>
          <w:color w:val="auto"/>
        </w:rPr>
        <w:t xml:space="preserve"> på olika geografiska nivåer och inom olika tidsperspektiv. Dessa förändringar och deras drivkrafter gör det möjligt att identifiera några av utmaningarna och möjligheterna för det hållbara skogsbrukets bidrag till </w:t>
      </w:r>
      <w:r w:rsidR="00DA2AC1">
        <w:rPr>
          <w:rFonts w:ascii="Calibri" w:hAnsi="Calibri"/>
          <w:color w:val="auto"/>
        </w:rPr>
        <w:t>tryggad livsmedelsförsörjning och nutrition</w:t>
      </w:r>
      <w:r>
        <w:rPr>
          <w:rFonts w:ascii="Calibri" w:hAnsi="Calibri"/>
          <w:color w:val="auto"/>
        </w:rPr>
        <w:t>.</w:t>
      </w:r>
    </w:p>
    <w:p w14:paraId="5F154E6A" w14:textId="77777777" w:rsidR="00AB0F40" w:rsidRPr="00AB0F40" w:rsidRDefault="00AB0F40" w:rsidP="00AB0F40">
      <w:pPr>
        <w:pStyle w:val="Default"/>
        <w:rPr>
          <w:rFonts w:ascii="Calibri" w:hAnsi="Calibri" w:cs="Calibri"/>
          <w:color w:val="auto"/>
        </w:rPr>
      </w:pPr>
    </w:p>
    <w:p w14:paraId="4F6E2860" w14:textId="77777777" w:rsidR="00117AEB" w:rsidRDefault="00AB0F40" w:rsidP="00AB0F40">
      <w:pPr>
        <w:pStyle w:val="Default"/>
        <w:rPr>
          <w:rFonts w:ascii="Calibri" w:hAnsi="Calibri" w:cs="Calibri"/>
          <w:color w:val="auto"/>
        </w:rPr>
      </w:pPr>
      <w:r>
        <w:rPr>
          <w:rFonts w:ascii="Calibri" w:hAnsi="Calibri"/>
          <w:color w:val="auto"/>
        </w:rPr>
        <w:t>16. År 2015 täcktes nästan 4 miljarder hektar världen över av skog (30,6 procent av jordens landyta). Trots att avskogning fortfarande pågår i relativt hög grad, i synnerhet i tropikerna, har den globala nettominskningen av skog saktat ned de senaste 20 åren. I den globala skogsresursutvärderingen presenteras för första gången global statistik för utarmningen av skog, utifrån en delvis minskning av krontäckningen</w:t>
      </w:r>
      <w:r>
        <w:rPr>
          <w:rStyle w:val="Fotnotsreferens"/>
          <w:rFonts w:ascii="Calibri" w:hAnsi="Calibri"/>
          <w:color w:val="auto"/>
        </w:rPr>
        <w:footnoteReference w:id="3"/>
      </w:r>
      <w:r>
        <w:rPr>
          <w:rFonts w:ascii="Calibri" w:hAnsi="Calibri"/>
          <w:color w:val="auto"/>
        </w:rPr>
        <w:t>. I tropikerna uppskattas den yta som drabbats av delvis minskning av krontäckningen vara 6,5 gånger större än den yta som avskogats sedan 1990.</w:t>
      </w:r>
    </w:p>
    <w:p w14:paraId="500FCBFB" w14:textId="77777777" w:rsidR="00AB0F40" w:rsidRDefault="00AB0F40" w:rsidP="00AB0F40">
      <w:pPr>
        <w:pStyle w:val="Default"/>
        <w:rPr>
          <w:rFonts w:ascii="Calibri" w:hAnsi="Calibri" w:cs="Calibri"/>
          <w:color w:val="auto"/>
        </w:rPr>
      </w:pPr>
    </w:p>
    <w:p w14:paraId="0911459D" w14:textId="77777777" w:rsidR="00AB0F40" w:rsidRDefault="00AB0F40" w:rsidP="00AB0F40">
      <w:pPr>
        <w:pStyle w:val="Default"/>
        <w:rPr>
          <w:rFonts w:ascii="Calibri" w:hAnsi="Calibri" w:cs="Calibri"/>
          <w:color w:val="auto"/>
        </w:rPr>
      </w:pPr>
      <w:r>
        <w:rPr>
          <w:rFonts w:ascii="Calibri" w:hAnsi="Calibri"/>
          <w:color w:val="auto"/>
        </w:rPr>
        <w:lastRenderedPageBreak/>
        <w:t>17. Den samlade minskningen av den totala skogsytan är resultatet av motsatta trender för olika skogstyper och olika regioner. Mellan 1990 och 2015 har naturskogens yta minskat stadigt i de flesta regioner, vilket omfattar både primära och sekundära naturskogar, medan den planterade skogen har ökat kraftigt. Minskningen av primär naturskog är särskilt oroväckande, eftersom dessa skogar utgör ett oersättligt bidrag till den biologiska mångfalden. Planterade skogar blir allt viktigare, inte bara i fråga om ytan, som har ökat från 4 till 7 procent mellan 1990 och 2015, utan också när det gäller produktionen. År 2012 kom 46,3 procent av det industriella rundvirket från planterade skogar. Planterade skogar är också ett sätt att återställa skadad mark och tillhandahålla ekosystemtjänster som minskad erosion och skydd mot översvämningar. Med tanke på den ökande efterfrågan på virke kan planterad skog bidra till att minska påfrestningarna på naturskogarna.</w:t>
      </w:r>
    </w:p>
    <w:p w14:paraId="76A83AF3" w14:textId="77777777" w:rsidR="00AB0F40" w:rsidRPr="00AB0F40" w:rsidRDefault="00AB0F40" w:rsidP="00AB0F40">
      <w:pPr>
        <w:pStyle w:val="Default"/>
        <w:rPr>
          <w:rFonts w:ascii="Calibri" w:hAnsi="Calibri" w:cs="Calibri"/>
          <w:color w:val="auto"/>
        </w:rPr>
      </w:pPr>
    </w:p>
    <w:p w14:paraId="2EEA6ED8" w14:textId="77777777" w:rsidR="00AB0F40" w:rsidRDefault="00AB0F40" w:rsidP="00AB0F40">
      <w:pPr>
        <w:pStyle w:val="Default"/>
        <w:rPr>
          <w:rFonts w:ascii="Calibri" w:hAnsi="Calibri" w:cs="Calibri"/>
          <w:color w:val="auto"/>
        </w:rPr>
      </w:pPr>
      <w:r>
        <w:rPr>
          <w:rFonts w:ascii="Calibri" w:hAnsi="Calibri"/>
          <w:color w:val="auto"/>
        </w:rPr>
        <w:t xml:space="preserve">18. Avskogningen och utarmningen av skog hotar skogsberoende folkgruppers inkomst, försörjning och livsstil. De hotar också tillgången till ekosystemtjänster som är avgörande för </w:t>
      </w:r>
      <w:r w:rsidR="00DA2AC1">
        <w:rPr>
          <w:rFonts w:ascii="Calibri" w:hAnsi="Calibri"/>
          <w:color w:val="auto"/>
        </w:rPr>
        <w:t>tryggad livsmedelsförsörjning och nutrition</w:t>
      </w:r>
      <w:r>
        <w:rPr>
          <w:rFonts w:ascii="Calibri" w:hAnsi="Calibri"/>
          <w:color w:val="auto"/>
        </w:rPr>
        <w:t xml:space="preserve"> och hållbar utveckling på lång sikt. Att avverka skog för att utöka jordbruket anses ibland ge större möjligheter att förbättra välfärden. De omedelbara fördelarna kan emellertid leda till utarmning av naturresurser, ensidigare kost, sämre försörjningsmöjligheter och en försämrad livsstil på sikt. Avskogning och utarmning av skog som leder till fragmenterade naturmiljöer kan också påverka människors hälsa genom att öka risken för spridning av skadedjur och sjukdomar.</w:t>
      </w:r>
    </w:p>
    <w:p w14:paraId="72AB23F7" w14:textId="77777777" w:rsidR="00AB0F40" w:rsidRDefault="00AB0F40" w:rsidP="00AB0F40">
      <w:pPr>
        <w:pStyle w:val="Default"/>
        <w:rPr>
          <w:rFonts w:ascii="Calibri" w:hAnsi="Calibri" w:cs="Calibri"/>
          <w:color w:val="auto"/>
        </w:rPr>
      </w:pPr>
    </w:p>
    <w:p w14:paraId="2A8FB038" w14:textId="77777777" w:rsidR="00AB0F40" w:rsidRDefault="00AB0F40" w:rsidP="00AB0F40">
      <w:pPr>
        <w:pStyle w:val="Default"/>
        <w:rPr>
          <w:rFonts w:ascii="Calibri" w:hAnsi="Calibri" w:cs="Calibri"/>
          <w:color w:val="auto"/>
        </w:rPr>
      </w:pPr>
      <w:r>
        <w:rPr>
          <w:rFonts w:ascii="Calibri" w:hAnsi="Calibri"/>
          <w:color w:val="auto"/>
        </w:rPr>
        <w:t>19. Förändringar i skogstäcke, skogstyper och skogsanvändning orsakas av flera samspelande faktorer på lokal och global nivå: efterfrågan på mat, foder, trä och energi ökar i takt med att folkmängden och inkomsterna ökar, samtidigt som det blir allt viktigare att skydda den biologiska mångfalden, bevara kollagren och upprätthålla vatten- och markskyddet. Förändringarna påverkas också av de styrningssystem som tar itu med och hanterar dessa behov.</w:t>
      </w:r>
    </w:p>
    <w:p w14:paraId="656826FD" w14:textId="77777777" w:rsidR="00AB0F40" w:rsidRPr="00AB0F40" w:rsidRDefault="00AB0F40" w:rsidP="00AB0F40">
      <w:pPr>
        <w:pStyle w:val="Default"/>
        <w:rPr>
          <w:rFonts w:ascii="Calibri" w:hAnsi="Calibri" w:cs="Calibri"/>
          <w:color w:val="auto"/>
        </w:rPr>
      </w:pPr>
    </w:p>
    <w:p w14:paraId="67AC9F29" w14:textId="77777777" w:rsidR="00AB0F40" w:rsidRDefault="00AB0F40" w:rsidP="00AB0F40">
      <w:pPr>
        <w:pStyle w:val="Default"/>
        <w:rPr>
          <w:rFonts w:ascii="Calibri" w:hAnsi="Calibri" w:cs="Calibri"/>
          <w:color w:val="auto"/>
        </w:rPr>
      </w:pPr>
      <w:r>
        <w:rPr>
          <w:rFonts w:ascii="Calibri" w:hAnsi="Calibri"/>
          <w:color w:val="auto"/>
        </w:rPr>
        <w:t>20. Mot bakgrund av att den globala befolkningsmängden och ekonomiska tillväxten ökar väntas efterfrågan på mat, foder, trä och bioenergi öka även fortsättningsvis. I synnerhet beräknas efterfrågan på trä och fiber fördubblas mellan 2005 och 2030.</w:t>
      </w:r>
    </w:p>
    <w:p w14:paraId="6462CD45" w14:textId="77777777" w:rsidR="00AB0F40" w:rsidRDefault="00AB0F40" w:rsidP="00AB0F40">
      <w:pPr>
        <w:pStyle w:val="Default"/>
        <w:rPr>
          <w:rFonts w:ascii="Calibri" w:hAnsi="Calibri" w:cs="Calibri"/>
          <w:color w:val="auto"/>
        </w:rPr>
      </w:pPr>
    </w:p>
    <w:p w14:paraId="3D69C70E" w14:textId="77777777" w:rsidR="009C6BEE" w:rsidRDefault="00AB0F40" w:rsidP="00AB0F40">
      <w:pPr>
        <w:pStyle w:val="Default"/>
        <w:rPr>
          <w:rFonts w:ascii="Calibri" w:hAnsi="Calibri" w:cs="Calibri"/>
          <w:color w:val="auto"/>
        </w:rPr>
      </w:pPr>
      <w:r>
        <w:rPr>
          <w:rFonts w:ascii="Calibri" w:hAnsi="Calibri"/>
          <w:color w:val="auto"/>
        </w:rPr>
        <w:t>21. Skogarna behöver nu anpassas till klimatförändringarna och förväntas bidra till att motverka dem. Utarmningen av mark ökar efterfrågan på jordbruksmark, vilket medför ytterligare påfrestningar för skogarna, även om det också skapar möjligheter till återbeskogning och beskogning. Samtidigt ökar medvetenheten om skogarnas funktion när det gäller att skydda mark, vatten och biologisk mångfald och bidra till att motverka klimatförändringarna. Dessa trender ökar konkurrensen om mark. De ökar också konkurrensen mellan olika typer av skogsanvändning för miljöskydd, virkes- och träproduktion, livsmedel och andra skogsprodukter som inte är trä, varav samtliga påverkar den tryggade livsmedels- och näringsförsörjningen. Det behövs konsekventa avvägningar på olika nivåer, från lokal till global nivå, för att kunna hantera konkurrensen om mark och ta hänsyn till jordbrukets och skogarnas behov samtidigt som man beaktar miljömässiga och klimatrelaterade problem. För att utforma och tillämpa lämpliga åtgärder och mekanismer behöver man gå utöver den konflikt som uppstår mellan de motsatta synsätten ”land-sharing” och ”land-sparing”.</w:t>
      </w:r>
    </w:p>
    <w:p w14:paraId="1E0628A6" w14:textId="77777777" w:rsidR="002D185B" w:rsidRDefault="002D185B" w:rsidP="00AB0F40">
      <w:pPr>
        <w:pStyle w:val="Default"/>
        <w:rPr>
          <w:rFonts w:ascii="Calibri" w:hAnsi="Calibri" w:cs="Calibri"/>
          <w:color w:val="auto"/>
        </w:rPr>
      </w:pPr>
    </w:p>
    <w:p w14:paraId="6D52237F" w14:textId="77777777" w:rsidR="002D185B" w:rsidRDefault="002D185B" w:rsidP="00AB0F40">
      <w:pPr>
        <w:pStyle w:val="Default"/>
        <w:rPr>
          <w:rFonts w:ascii="Calibri" w:hAnsi="Calibri" w:cs="Calibri"/>
          <w:color w:val="auto"/>
        </w:rPr>
      </w:pPr>
      <w:r>
        <w:rPr>
          <w:rFonts w:ascii="Calibri" w:hAnsi="Calibri"/>
          <w:color w:val="auto"/>
        </w:rPr>
        <w:lastRenderedPageBreak/>
        <w:t xml:space="preserve">22. De växande behoven i fråga om mark, skogar och träd skapar nya utmaningar och möjligheter för hur de kan bidra till </w:t>
      </w:r>
      <w:r w:rsidR="00DA2AC1">
        <w:rPr>
          <w:rFonts w:ascii="Calibri" w:hAnsi="Calibri"/>
          <w:color w:val="auto"/>
        </w:rPr>
        <w:t>tryggad livsmedelsförsörjning och nutrition</w:t>
      </w:r>
      <w:r>
        <w:rPr>
          <w:rFonts w:ascii="Calibri" w:hAnsi="Calibri"/>
          <w:color w:val="auto"/>
        </w:rPr>
        <w:t xml:space="preserve">. Detta kan äventyra några av skogarnas bidrag till </w:t>
      </w:r>
      <w:r w:rsidR="00DA2AC1">
        <w:rPr>
          <w:rFonts w:ascii="Calibri" w:hAnsi="Calibri"/>
          <w:color w:val="auto"/>
        </w:rPr>
        <w:t>tryggad livsmedelsförsörjning och nutrition</w:t>
      </w:r>
      <w:r>
        <w:rPr>
          <w:rFonts w:ascii="Calibri" w:hAnsi="Calibri"/>
          <w:color w:val="auto"/>
        </w:rPr>
        <w:t xml:space="preserve">, i synnerhet när bidragen är mindre synliga eller gäller de mest marginaliserade och utsatta grupperna. Samtidigt kan det ge ytterligare skäl att skydda och investera i skogar och skapa nya arbetstillfällen och möjligheter till hållbar utveckling. Detta förutsätter en större förståelse för förändringsaktörer och dynamiken i landskap som utvecklas, exempelvis sekundära naturskogar, mosaikliknande landskap och skogsjordbrukssystem. Det krävs också större kunskap om hur allt detta påverkar </w:t>
      </w:r>
      <w:r w:rsidR="00DA2AC1">
        <w:rPr>
          <w:rFonts w:ascii="Calibri" w:hAnsi="Calibri"/>
          <w:color w:val="auto"/>
        </w:rPr>
        <w:t>tryggad livsmedelsförsörjning och nutrition</w:t>
      </w:r>
      <w:r>
        <w:rPr>
          <w:rFonts w:ascii="Calibri" w:hAnsi="Calibri"/>
          <w:color w:val="auto"/>
        </w:rPr>
        <w:t xml:space="preserve"> och hållbar utveckling. Vidare behövs ett starkare stöd för att återställa skog i områden som klassificeras som annan trädbevuxen mark.</w:t>
      </w:r>
    </w:p>
    <w:p w14:paraId="0328AC03" w14:textId="77777777" w:rsidR="002D185B" w:rsidRDefault="002D185B" w:rsidP="00AB0F40">
      <w:pPr>
        <w:pStyle w:val="Default"/>
        <w:rPr>
          <w:rFonts w:ascii="Calibri" w:hAnsi="Calibri" w:cs="Calibri"/>
          <w:color w:val="auto"/>
        </w:rPr>
      </w:pPr>
    </w:p>
    <w:p w14:paraId="4A5B9FB8" w14:textId="77777777" w:rsidR="002D185B" w:rsidRDefault="002D185B" w:rsidP="00AB0F40">
      <w:pPr>
        <w:pStyle w:val="Default"/>
        <w:rPr>
          <w:rFonts w:ascii="Calibri" w:hAnsi="Calibri" w:cs="Calibri"/>
          <w:color w:val="auto"/>
        </w:rPr>
      </w:pPr>
    </w:p>
    <w:p w14:paraId="380B2B44" w14:textId="77777777" w:rsidR="00117AEB" w:rsidRDefault="002D185B" w:rsidP="002D185B">
      <w:pPr>
        <w:pStyle w:val="Default"/>
        <w:rPr>
          <w:rFonts w:ascii="Calibri" w:hAnsi="Calibri" w:cs="Calibri"/>
          <w:b/>
          <w:color w:val="auto"/>
        </w:rPr>
      </w:pPr>
      <w:r>
        <w:rPr>
          <w:rFonts w:ascii="Calibri" w:hAnsi="Calibri"/>
          <w:b/>
          <w:color w:val="auto"/>
        </w:rPr>
        <w:t xml:space="preserve">Hur kan skogarnas och trädens bidrag till </w:t>
      </w:r>
      <w:r w:rsidR="00DA2AC1">
        <w:rPr>
          <w:rFonts w:ascii="Calibri" w:hAnsi="Calibri"/>
          <w:b/>
          <w:color w:val="auto"/>
        </w:rPr>
        <w:t>tryggad livsmedelsförsörjning och nutrition</w:t>
      </w:r>
      <w:r>
        <w:rPr>
          <w:rFonts w:ascii="Calibri" w:hAnsi="Calibri"/>
          <w:b/>
          <w:color w:val="auto"/>
        </w:rPr>
        <w:t xml:space="preserve"> optimeras på ett hållbart sätt? </w:t>
      </w:r>
    </w:p>
    <w:p w14:paraId="1F879CE2" w14:textId="77777777" w:rsidR="002D185B" w:rsidRDefault="002D185B" w:rsidP="002D185B">
      <w:pPr>
        <w:pStyle w:val="Default"/>
        <w:rPr>
          <w:rFonts w:ascii="Calibri" w:hAnsi="Calibri" w:cs="Calibri"/>
          <w:color w:val="auto"/>
        </w:rPr>
      </w:pPr>
      <w:r>
        <w:rPr>
          <w:rFonts w:ascii="Calibri" w:hAnsi="Calibri"/>
          <w:color w:val="auto"/>
        </w:rPr>
        <w:t xml:space="preserve">23. När det gäller skogarnas och trädens bidrag till </w:t>
      </w:r>
      <w:r w:rsidR="00DA2AC1">
        <w:rPr>
          <w:rFonts w:ascii="Calibri" w:hAnsi="Calibri"/>
          <w:color w:val="auto"/>
        </w:rPr>
        <w:t>tryggad livsmedelsförsörjning och nutrition</w:t>
      </w:r>
      <w:r>
        <w:rPr>
          <w:rFonts w:ascii="Calibri" w:hAnsi="Calibri"/>
          <w:color w:val="auto"/>
        </w:rPr>
        <w:t xml:space="preserve"> finns det möjligheter till samverkan och utbyte mellan olika nivåer, från lokal till global nivå och på både kort och lång sikt. Det hållbara skogsbruket för </w:t>
      </w:r>
      <w:r w:rsidR="00DA2AC1">
        <w:rPr>
          <w:rFonts w:ascii="Calibri" w:hAnsi="Calibri"/>
          <w:color w:val="auto"/>
        </w:rPr>
        <w:t>tryggad livsmedelsförsörjning och nutrition</w:t>
      </w:r>
      <w:r>
        <w:rPr>
          <w:rFonts w:ascii="Calibri" w:hAnsi="Calibri"/>
          <w:color w:val="auto"/>
        </w:rPr>
        <w:t xml:space="preserve"> måste därför till fullo beakta och innefatta följande faktorer: skogarnas och trädens många användningsområden, varierande och ibland oförenliga intressen samt olika intressenters behov och rättigheter, med särskild hänsyn till mer utsatta och marginaliserade grupper. För detta behövs styrningsmekanismer på olika geografiska nivåer och med olika tidsperspektiv i form av internationella instrument, nationell politik och lokala åtgärder.</w:t>
      </w:r>
    </w:p>
    <w:p w14:paraId="309A4106" w14:textId="77777777" w:rsidR="002D185B" w:rsidRDefault="002D185B" w:rsidP="002D185B">
      <w:pPr>
        <w:pStyle w:val="Default"/>
        <w:rPr>
          <w:rFonts w:ascii="Calibri" w:hAnsi="Calibri" w:cs="Calibri"/>
          <w:color w:val="auto"/>
        </w:rPr>
      </w:pPr>
    </w:p>
    <w:p w14:paraId="28BD627D" w14:textId="77777777" w:rsidR="002D185B" w:rsidRDefault="002D185B" w:rsidP="002D185B">
      <w:pPr>
        <w:pStyle w:val="Default"/>
        <w:rPr>
          <w:rFonts w:ascii="Calibri" w:hAnsi="Calibri" w:cs="Calibri"/>
          <w:color w:val="auto"/>
        </w:rPr>
      </w:pPr>
      <w:r>
        <w:rPr>
          <w:rFonts w:ascii="Calibri" w:hAnsi="Calibri"/>
          <w:color w:val="auto"/>
        </w:rPr>
        <w:t xml:space="preserve">24. I den globala skogsresursutvärderingen identifieras en uppsättning kriterier som underlättar för ett hållbart skogsbruk: permanenta skogsområden, rättsliga ramar, skogsbruksplaner, engagemang från intressenter samt informations-, övervaknings- och rapporteringssystem. Enligt den globala skogsresursutvärderingen var samtliga kriterier uppfyllda för endast hälften av de permanenta skogsområdenas samlade yta på 2,2 miljarder hektar under 2015. Andelen områden som omfattas av en skogsbruksplan har emellertid ökat kraftigt de senaste decennierna. Under 2015 rapporterade 167 länder att de hade skogsbruksplaner, och dessa planer omfattar mer än hälften av deras skogsområden (cirka 2,1 miljarder hektar). Det huvudsakliga målet med en skogsbruksplan (oavsett om det gäller bevarande av primär naturskog och skyddade områden eller träproduktion i planterade skogar) kan vara oförenligt med rätten att få åtkomst till och nyttja skogsresurser. Detta kan försvåra </w:t>
      </w:r>
      <w:r w:rsidR="00DA2AC1">
        <w:rPr>
          <w:rFonts w:ascii="Calibri" w:hAnsi="Calibri"/>
          <w:color w:val="auto"/>
        </w:rPr>
        <w:t>tryggad livsmedelsförsörjning och nutrition</w:t>
      </w:r>
      <w:r>
        <w:rPr>
          <w:rFonts w:ascii="Calibri" w:hAnsi="Calibri"/>
          <w:color w:val="auto"/>
        </w:rPr>
        <w:t xml:space="preserve"> för skogsberoende personer och folkgrupper, exempelvis urinvånare. De rättsliga ramar som reglerar dessa rättigheter varierar kraftigt mellan olika länder.</w:t>
      </w:r>
    </w:p>
    <w:p w14:paraId="0478310D" w14:textId="77777777" w:rsidR="00117AEB" w:rsidRDefault="00117AEB" w:rsidP="00117AEB">
      <w:pPr>
        <w:pStyle w:val="Default"/>
        <w:rPr>
          <w:rFonts w:ascii="Calibri" w:hAnsi="Calibri" w:cs="Calibri"/>
          <w:color w:val="auto"/>
        </w:rPr>
      </w:pPr>
    </w:p>
    <w:p w14:paraId="11FE78D2" w14:textId="77777777" w:rsidR="00117AEB" w:rsidRDefault="00117AEB" w:rsidP="00117AEB">
      <w:pPr>
        <w:pStyle w:val="Default"/>
        <w:rPr>
          <w:rFonts w:ascii="Calibri" w:hAnsi="Calibri" w:cs="Calibri"/>
          <w:color w:val="auto"/>
        </w:rPr>
      </w:pPr>
      <w:r>
        <w:rPr>
          <w:rFonts w:ascii="Calibri" w:hAnsi="Calibri"/>
          <w:color w:val="auto"/>
        </w:rPr>
        <w:t xml:space="preserve">25. Det finns ett flertal internationella fördrag och standarder som påverkar hur skogar förvaltas. Vissa av dem fokuserar på skogsförvaltningens miljödimensioner, exempelvis de tre Riokonventionerna, Förenta nationernas ramkonvention om klimatförändringar (UNFCCC), Konventionen om biologisk mångfald (CBD) och Förenta nationernas konvention om bekämpning av ökenspridning (UNCCD). Andra fördrag är kopplade till mänskliga rättigheter, i synnerhet rätten att få tillräckligt med mat och näring. En tredje grupp internationella instrument är direkt kopplad till skogsförvaltning, exempelvis FN:s </w:t>
      </w:r>
      <w:r>
        <w:rPr>
          <w:rFonts w:ascii="Calibri" w:hAnsi="Calibri"/>
          <w:color w:val="auto"/>
        </w:rPr>
        <w:lastRenderedPageBreak/>
        <w:t>skogsprinciper från 1992</w:t>
      </w:r>
      <w:r>
        <w:rPr>
          <w:rStyle w:val="Fotnotsreferens"/>
          <w:rFonts w:ascii="Calibri" w:hAnsi="Calibri"/>
          <w:color w:val="auto"/>
        </w:rPr>
        <w:footnoteReference w:id="4"/>
      </w:r>
      <w:r>
        <w:rPr>
          <w:rFonts w:ascii="Calibri" w:hAnsi="Calibri"/>
          <w:color w:val="auto"/>
        </w:rPr>
        <w:t xml:space="preserve"> och de frivilliga riktlinjerna för ansvarsfull förvaltning av markrättigheter, fiske och skog i förhållande till en nationell tryggad livsmedelsförsörjning. </w:t>
      </w:r>
    </w:p>
    <w:p w14:paraId="6A6DD37F" w14:textId="77777777" w:rsidR="00117AEB" w:rsidRDefault="00117AEB" w:rsidP="00117AEB">
      <w:pPr>
        <w:pStyle w:val="Default"/>
        <w:rPr>
          <w:rFonts w:ascii="Calibri" w:hAnsi="Calibri" w:cs="Calibri"/>
          <w:color w:val="auto"/>
        </w:rPr>
      </w:pPr>
    </w:p>
    <w:p w14:paraId="1257ACB8" w14:textId="77777777" w:rsidR="00117AEB" w:rsidRPr="00117AEB" w:rsidRDefault="00117AEB" w:rsidP="00117AEB">
      <w:pPr>
        <w:pStyle w:val="Default"/>
        <w:rPr>
          <w:rFonts w:ascii="Calibri" w:hAnsi="Calibri" w:cs="Calibri"/>
          <w:color w:val="auto"/>
        </w:rPr>
      </w:pPr>
      <w:r>
        <w:rPr>
          <w:rFonts w:ascii="Calibri" w:hAnsi="Calibri"/>
          <w:color w:val="auto"/>
        </w:rPr>
        <w:t xml:space="preserve">26. Det finns ett stigande intresse för marknadsbaserade instrument som erkänner och värdesätter skogarnas olika bidrag, i synnerhet när det gäller miljöfrågor. Några exempel är koldioxidkrediter och andra betalningar för miljötjänster, certifiering och grön upphandling. Skogscertifiering fyller en viktig funktion när det gäller att bedöma och övervaka det hållbara skogsbruket på ett oberoende sätt. De två främsta internationella certifieringssystemen (Forest Stewardwhip Council och Programme for the Endorsement of Forest Certification, som infördes i slutet av 1990-talet) täckte 438 miljoner hektar 2014 (varav 90 procent ligger i boreala och tempererade klimatzoner). Dessutom finns frivilliga program, normer och standarder för grönt byggande som främjar användandet av lagliga och hållbart avverkade träprodukter. Med sådana instrument går det att koppla skogsbruket till personer som konsumerar skogsprodukter från andra delar av världen genom att göra det möjligt för dem att betala för miljöpåverkan. Däremot kan de inte alltid helt integrera frågor kopplade till </w:t>
      </w:r>
      <w:r w:rsidR="00DA2AC1">
        <w:rPr>
          <w:rFonts w:ascii="Calibri" w:hAnsi="Calibri"/>
          <w:color w:val="auto"/>
        </w:rPr>
        <w:t>tryggad livsmedelsförsörjning och nutrition</w:t>
      </w:r>
      <w:r>
        <w:rPr>
          <w:rFonts w:ascii="Calibri" w:hAnsi="Calibri"/>
          <w:color w:val="auto"/>
        </w:rPr>
        <w:t xml:space="preserve"> eller lokala, skogsberoende människors och folkgruppers behov.</w:t>
      </w:r>
    </w:p>
    <w:p w14:paraId="4889D2CE" w14:textId="77777777" w:rsidR="00117AEB" w:rsidRDefault="00117AEB" w:rsidP="00117AEB">
      <w:pPr>
        <w:pStyle w:val="Default"/>
        <w:rPr>
          <w:rFonts w:ascii="Calibri" w:hAnsi="Calibri" w:cs="Calibri"/>
          <w:color w:val="auto"/>
        </w:rPr>
      </w:pPr>
    </w:p>
    <w:p w14:paraId="6A68F902" w14:textId="77777777" w:rsidR="00117AEB" w:rsidRPr="00117AEB" w:rsidRDefault="00117AEB" w:rsidP="00117AEB">
      <w:pPr>
        <w:pStyle w:val="Default"/>
        <w:rPr>
          <w:rFonts w:ascii="Calibri" w:hAnsi="Calibri" w:cs="Calibri"/>
          <w:color w:val="auto"/>
        </w:rPr>
      </w:pPr>
      <w:r>
        <w:rPr>
          <w:rFonts w:ascii="Calibri" w:hAnsi="Calibri"/>
          <w:color w:val="auto"/>
        </w:rPr>
        <w:t xml:space="preserve">27. Ett hållbart skogsbruk för </w:t>
      </w:r>
      <w:r w:rsidR="00DA2AC1">
        <w:rPr>
          <w:rFonts w:ascii="Calibri" w:hAnsi="Calibri"/>
          <w:color w:val="auto"/>
        </w:rPr>
        <w:t>tryggad livsmedelsförsörjning och nutrition</w:t>
      </w:r>
      <w:r>
        <w:rPr>
          <w:rFonts w:ascii="Calibri" w:hAnsi="Calibri"/>
          <w:color w:val="auto"/>
        </w:rPr>
        <w:t xml:space="preserve"> kräver således integrerade, innovativa och inkluderande styrningssystem för flera sektorer och på flera geografiska nivåer med flera olika tidsperspektiv. På så sätt kan man se till att alla berörda intressenter och grupper blir fullt delaktiga, i synnerhet kvinnor samt utsatta och marginaliserade grupper, exempelvis urinvånare och skogsberoende folkgrupper. Framför allt måste lämpliga åtgärder utformas på landskapsnivå, där utmaningen är att optimera den konkreta samexistensen mellan städer, jordbruk, skogar och andra naturområden och bättre integrera frågor som rör </w:t>
      </w:r>
      <w:r w:rsidR="00DA2AC1">
        <w:rPr>
          <w:rFonts w:ascii="Calibri" w:hAnsi="Calibri"/>
          <w:color w:val="auto"/>
        </w:rPr>
        <w:t>tryggad livsmedelsförsörjning och nutrition</w:t>
      </w:r>
      <w:r>
        <w:rPr>
          <w:rFonts w:ascii="Calibri" w:hAnsi="Calibri"/>
          <w:color w:val="auto"/>
        </w:rPr>
        <w:t xml:space="preserve"> inom skogsbruket.</w:t>
      </w:r>
    </w:p>
    <w:p w14:paraId="5825A934" w14:textId="77777777" w:rsidR="00117AEB" w:rsidRDefault="00117AEB" w:rsidP="00117AEB">
      <w:pPr>
        <w:pStyle w:val="Default"/>
        <w:rPr>
          <w:rFonts w:ascii="Calibri" w:hAnsi="Calibri" w:cs="Calibri"/>
          <w:color w:val="auto"/>
        </w:rPr>
      </w:pPr>
    </w:p>
    <w:p w14:paraId="37D903D0" w14:textId="77777777" w:rsidR="00117AEB" w:rsidRPr="00117AEB" w:rsidRDefault="00117AEB" w:rsidP="00117AEB">
      <w:pPr>
        <w:pStyle w:val="Default"/>
        <w:rPr>
          <w:rFonts w:ascii="Calibri" w:hAnsi="Calibri" w:cs="Calibri"/>
          <w:color w:val="auto"/>
        </w:rPr>
      </w:pPr>
      <w:r>
        <w:rPr>
          <w:rFonts w:ascii="Calibri" w:hAnsi="Calibri"/>
          <w:color w:val="auto"/>
        </w:rPr>
        <w:t>28. Om lokalsamhällens, skogsberoende folkgruppers och urinvånares rätt att få tillräckligt med mat ska kunna genomdrivas måste deras rätt att bruka mark och skog säkerställas. Skogsbaserade varor och tjänster är också avgörande för genomdrivandet av människors sociala, ekonomiska och kulturella rättigheter världen över. Mot denna bakgrund bör skogsrelaterade lagar, politiska initiativ och insatser inte inkräkta på dessa rättigheter, utan tvärtom förbättra de människorättsliga förhållandena och prioritera de mest utsatta grupperna för att uppnå jämlikhet i verkligheten, inte bara på pappret. Sådana processer bör genomföras med respekt för de människorättsliga principerna om icke-diskriminering och jämlikhet, öppenhet och tillgång till information, inkludering, ökad delaktighet, laglighet och ansvarsskyldighet.</w:t>
      </w:r>
    </w:p>
    <w:p w14:paraId="1B7406D3" w14:textId="77777777" w:rsidR="00117AEB" w:rsidRPr="00117AEB" w:rsidRDefault="00117AEB" w:rsidP="00117AEB">
      <w:pPr>
        <w:pStyle w:val="Default"/>
        <w:rPr>
          <w:rFonts w:ascii="Calibri" w:hAnsi="Calibri" w:cs="Calibri"/>
          <w:color w:val="auto"/>
        </w:rPr>
      </w:pPr>
      <w:r>
        <w:rPr>
          <w:rFonts w:ascii="Calibri" w:hAnsi="Calibri"/>
          <w:color w:val="auto"/>
        </w:rPr>
        <w:t xml:space="preserve"> </w:t>
      </w:r>
    </w:p>
    <w:p w14:paraId="4D369256" w14:textId="77777777" w:rsidR="00117AEB" w:rsidRPr="00117AEB" w:rsidRDefault="00117AEB" w:rsidP="00117AEB">
      <w:pPr>
        <w:rPr>
          <w:rFonts w:ascii="Calibri" w:hAnsi="Calibri" w:cs="Calibri"/>
          <w:sz w:val="24"/>
          <w:szCs w:val="24"/>
        </w:rPr>
      </w:pPr>
    </w:p>
    <w:sectPr w:rsidR="00117AEB" w:rsidRPr="00117AEB" w:rsidSect="0093335A">
      <w:headerReference w:type="default" r:id="rId15"/>
      <w:pgSz w:w="11906" w:h="16838" w:code="9"/>
      <w:pgMar w:top="1418" w:right="1418" w:bottom="1418" w:left="1418"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851D3" w14:textId="77777777" w:rsidR="008210DD" w:rsidRDefault="008210DD" w:rsidP="00A87A54">
      <w:pPr>
        <w:spacing w:after="0" w:line="240" w:lineRule="auto"/>
      </w:pPr>
      <w:r>
        <w:separator/>
      </w:r>
    </w:p>
  </w:endnote>
  <w:endnote w:type="continuationSeparator" w:id="0">
    <w:p w14:paraId="1A54036E" w14:textId="77777777" w:rsidR="008210DD" w:rsidRDefault="008210D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8C43C" w14:textId="77777777" w:rsidR="008210DD" w:rsidRDefault="008210DD" w:rsidP="00A87A54">
      <w:pPr>
        <w:spacing w:after="0" w:line="240" w:lineRule="auto"/>
      </w:pPr>
      <w:r>
        <w:separator/>
      </w:r>
    </w:p>
  </w:footnote>
  <w:footnote w:type="continuationSeparator" w:id="0">
    <w:p w14:paraId="34FAA585" w14:textId="77777777" w:rsidR="008210DD" w:rsidRDefault="008210DD" w:rsidP="00A87A54">
      <w:pPr>
        <w:spacing w:after="0" w:line="240" w:lineRule="auto"/>
      </w:pPr>
      <w:r>
        <w:continuationSeparator/>
      </w:r>
    </w:p>
  </w:footnote>
  <w:footnote w:id="1">
    <w:p w14:paraId="2BD437AD" w14:textId="77777777" w:rsidR="00106601" w:rsidRPr="00416502" w:rsidRDefault="00106601">
      <w:pPr>
        <w:pStyle w:val="Fotnotstext"/>
      </w:pPr>
      <w:r>
        <w:rPr>
          <w:rStyle w:val="Fotnotsreferens"/>
        </w:rPr>
        <w:footnoteRef/>
      </w:r>
      <w:r>
        <w:t xml:space="preserve"> Skogens utvecklingskurva från naturskog till jordbruk och återbeskogning illustrerar skogarnas utveckling genom ett spektrum av bruksintensitet mellan de olika skogstyperna. Kurvan illustrerar inte bara skogarnas utveckling över tid, utan beskriver också variationer i utbredning mellan olika landskap vid samma tidpunkt.</w:t>
      </w:r>
    </w:p>
  </w:footnote>
  <w:footnote w:id="2">
    <w:p w14:paraId="0768B387" w14:textId="77777777" w:rsidR="00106601" w:rsidRPr="00416502" w:rsidRDefault="00106601">
      <w:pPr>
        <w:pStyle w:val="Fotnotstext"/>
      </w:pPr>
      <w:r>
        <w:rPr>
          <w:rStyle w:val="Fotnotsreferens"/>
        </w:rPr>
        <w:footnoteRef/>
      </w:r>
      <w:r>
        <w:t>Trädbränsle avser både ved och träkol enligt FAO:s terminologi.</w:t>
      </w:r>
    </w:p>
  </w:footnote>
  <w:footnote w:id="3">
    <w:p w14:paraId="56BC070D" w14:textId="77777777" w:rsidR="00106601" w:rsidRPr="00416502" w:rsidRDefault="00106601">
      <w:pPr>
        <w:pStyle w:val="Fotnotstext"/>
      </w:pPr>
      <w:r>
        <w:rPr>
          <w:rStyle w:val="Fotnotsreferens"/>
        </w:rPr>
        <w:footnoteRef/>
      </w:r>
      <w:r>
        <w:t xml:space="preserve"> Definierad som en minskning med mer än 20 procent av krontäcket mellan 2000 och 2012.</w:t>
      </w:r>
    </w:p>
  </w:footnote>
  <w:footnote w:id="4">
    <w:p w14:paraId="066762BB" w14:textId="77777777" w:rsidR="00106601" w:rsidRPr="00416502" w:rsidRDefault="00106601">
      <w:pPr>
        <w:pStyle w:val="Fotnotstext"/>
      </w:pPr>
      <w:r>
        <w:rPr>
          <w:rStyle w:val="Fotnotsreferens"/>
        </w:rPr>
        <w:footnoteRef/>
      </w:r>
      <w:r>
        <w:t xml:space="preserve"> Bilaga III – ej lagligt bindande officiell förklaring med principer för en global enighet rörande förvaltning, bevarande och en hållbar utveckling av alla typer av skogar – rapport från FN:s konferens om miljö och utveckling, Rio de Janeiro, Brasilien, 1992.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100631"/>
      <w:docPartObj>
        <w:docPartGallery w:val="Page Numbers (Top of Page)"/>
        <w:docPartUnique/>
      </w:docPartObj>
    </w:sdtPr>
    <w:sdtEndPr/>
    <w:sdtContent>
      <w:p w14:paraId="3A9C9451" w14:textId="40ED8AF3" w:rsidR="00117AEB" w:rsidRDefault="00117AEB">
        <w:pPr>
          <w:pStyle w:val="Sidhuvud"/>
          <w:jc w:val="right"/>
        </w:pPr>
        <w:r>
          <w:fldChar w:fldCharType="begin"/>
        </w:r>
        <w:r>
          <w:instrText>PAGE   \* MERGEFORMAT</w:instrText>
        </w:r>
        <w:r>
          <w:fldChar w:fldCharType="separate"/>
        </w:r>
        <w:r w:rsidR="00F31905">
          <w:rPr>
            <w:noProof/>
          </w:rPr>
          <w:t>2</w:t>
        </w:r>
        <w:r>
          <w:fldChar w:fldCharType="end"/>
        </w:r>
      </w:p>
    </w:sdtContent>
  </w:sdt>
  <w:p w14:paraId="23F2A7DE" w14:textId="77777777" w:rsidR="00117AEB" w:rsidRDefault="00117AE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03F4C"/>
    <w:multiLevelType w:val="multilevel"/>
    <w:tmpl w:val="1A20A4CA"/>
    <w:numStyleLink w:val="RKPunktlista"/>
  </w:abstractNum>
  <w:abstractNum w:abstractNumId="8" w15:restartNumberingAfterBreak="0">
    <w:nsid w:val="0ED533F4"/>
    <w:multiLevelType w:val="multilevel"/>
    <w:tmpl w:val="1B563932"/>
    <w:numStyleLink w:val="RKNumreradlista"/>
  </w:abstractNum>
  <w:abstractNum w:abstractNumId="9"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1B5490"/>
    <w:multiLevelType w:val="multilevel"/>
    <w:tmpl w:val="1B563932"/>
    <w:numStyleLink w:val="RKNumreradlista"/>
  </w:abstractNum>
  <w:abstractNum w:abstractNumId="11" w15:restartNumberingAfterBreak="0">
    <w:nsid w:val="1F88532F"/>
    <w:multiLevelType w:val="multilevel"/>
    <w:tmpl w:val="1B563932"/>
    <w:numStyleLink w:val="RKNumreradlista"/>
  </w:abstractNum>
  <w:abstractNum w:abstractNumId="12" w15:restartNumberingAfterBreak="0">
    <w:nsid w:val="2AB05199"/>
    <w:multiLevelType w:val="multilevel"/>
    <w:tmpl w:val="186C6512"/>
    <w:numStyleLink w:val="Strecklistan"/>
  </w:abstractNum>
  <w:abstractNum w:abstractNumId="13" w15:restartNumberingAfterBreak="0">
    <w:nsid w:val="2BE361F1"/>
    <w:multiLevelType w:val="multilevel"/>
    <w:tmpl w:val="1B563932"/>
    <w:numStyleLink w:val="RKNumreradlista"/>
  </w:abstractNum>
  <w:abstractNum w:abstractNumId="14" w15:restartNumberingAfterBreak="0">
    <w:nsid w:val="2C9B0453"/>
    <w:multiLevelType w:val="multilevel"/>
    <w:tmpl w:val="1A20A4CA"/>
    <w:numStyleLink w:val="RKPunktlista"/>
  </w:abstractNum>
  <w:abstractNum w:abstractNumId="15" w15:restartNumberingAfterBreak="0">
    <w:nsid w:val="2ECF6BA1"/>
    <w:multiLevelType w:val="multilevel"/>
    <w:tmpl w:val="1B563932"/>
    <w:numStyleLink w:val="RKNumreradlista"/>
  </w:abstractNum>
  <w:abstractNum w:abstractNumId="16" w15:restartNumberingAfterBreak="0">
    <w:nsid w:val="2F604539"/>
    <w:multiLevelType w:val="multilevel"/>
    <w:tmpl w:val="1B563932"/>
    <w:numStyleLink w:val="RKNumreradlista"/>
  </w:abstractNum>
  <w:abstractNum w:abstractNumId="17" w15:restartNumberingAfterBreak="0">
    <w:nsid w:val="348522EF"/>
    <w:multiLevelType w:val="multilevel"/>
    <w:tmpl w:val="1B563932"/>
    <w:numStyleLink w:val="RKNumreradlista"/>
  </w:abstractNum>
  <w:abstractNum w:abstractNumId="18"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3D0E02"/>
    <w:multiLevelType w:val="multilevel"/>
    <w:tmpl w:val="1B563932"/>
    <w:numStyleLink w:val="RKNumreradlista"/>
  </w:abstractNum>
  <w:abstractNum w:abstractNumId="20"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0774A"/>
    <w:multiLevelType w:val="multilevel"/>
    <w:tmpl w:val="1B563932"/>
    <w:numStyleLink w:val="RKNumreradlista"/>
  </w:abstractNum>
  <w:abstractNum w:abstractNumId="22" w15:restartNumberingAfterBreak="0">
    <w:nsid w:val="4C84297C"/>
    <w:multiLevelType w:val="multilevel"/>
    <w:tmpl w:val="1B563932"/>
    <w:numStyleLink w:val="RKNumreradlista"/>
  </w:abstractNum>
  <w:abstractNum w:abstractNumId="23" w15:restartNumberingAfterBreak="0">
    <w:nsid w:val="4D904BDB"/>
    <w:multiLevelType w:val="multilevel"/>
    <w:tmpl w:val="1B563932"/>
    <w:numStyleLink w:val="RKNumreradlista"/>
  </w:abstractNum>
  <w:abstractNum w:abstractNumId="24" w15:restartNumberingAfterBreak="0">
    <w:nsid w:val="4DAD38FF"/>
    <w:multiLevelType w:val="multilevel"/>
    <w:tmpl w:val="1B563932"/>
    <w:numStyleLink w:val="RKNumreradlista"/>
  </w:abstractNum>
  <w:abstractNum w:abstractNumId="25" w15:restartNumberingAfterBreak="0">
    <w:nsid w:val="53A05A92"/>
    <w:multiLevelType w:val="multilevel"/>
    <w:tmpl w:val="1B563932"/>
    <w:numStyleLink w:val="RKNumreradlista"/>
  </w:abstractNum>
  <w:abstractNum w:abstractNumId="26" w15:restartNumberingAfterBreak="0">
    <w:nsid w:val="5C6843F9"/>
    <w:multiLevelType w:val="multilevel"/>
    <w:tmpl w:val="1A20A4CA"/>
    <w:numStyleLink w:val="RKPunktlista"/>
  </w:abstractNum>
  <w:abstractNum w:abstractNumId="27" w15:restartNumberingAfterBreak="0">
    <w:nsid w:val="61AC437A"/>
    <w:multiLevelType w:val="multilevel"/>
    <w:tmpl w:val="E2FEA49E"/>
    <w:numStyleLink w:val="RKNumreraderubriker"/>
  </w:abstractNum>
  <w:abstractNum w:abstractNumId="28" w15:restartNumberingAfterBreak="0">
    <w:nsid w:val="64780D1B"/>
    <w:multiLevelType w:val="multilevel"/>
    <w:tmpl w:val="1B563932"/>
    <w:numStyleLink w:val="RKNumreradlista"/>
  </w:abstractNum>
  <w:abstractNum w:abstractNumId="29" w15:restartNumberingAfterBreak="0">
    <w:nsid w:val="664239C2"/>
    <w:multiLevelType w:val="multilevel"/>
    <w:tmpl w:val="1A20A4CA"/>
    <w:numStyleLink w:val="RKPunktlista"/>
  </w:abstractNum>
  <w:abstractNum w:abstractNumId="30" w15:restartNumberingAfterBreak="0">
    <w:nsid w:val="6AA87A6A"/>
    <w:multiLevelType w:val="multilevel"/>
    <w:tmpl w:val="186C6512"/>
    <w:numStyleLink w:val="Strecklistan"/>
  </w:abstractNum>
  <w:abstractNum w:abstractNumId="31" w15:restartNumberingAfterBreak="0">
    <w:nsid w:val="6D8C68B4"/>
    <w:multiLevelType w:val="multilevel"/>
    <w:tmpl w:val="1B563932"/>
    <w:numStyleLink w:val="RKNumreradlista"/>
  </w:abstractNum>
  <w:abstractNum w:abstractNumId="32"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4466A28"/>
    <w:multiLevelType w:val="multilevel"/>
    <w:tmpl w:val="1A20A4CA"/>
    <w:numStyleLink w:val="RKPunktlista"/>
  </w:abstractNum>
  <w:abstractNum w:abstractNumId="34" w15:restartNumberingAfterBreak="0">
    <w:nsid w:val="76322898"/>
    <w:multiLevelType w:val="multilevel"/>
    <w:tmpl w:val="186C6512"/>
    <w:numStyleLink w:val="Strecklistan"/>
  </w:abstractNum>
  <w:num w:numId="1">
    <w:abstractNumId w:val="20"/>
  </w:num>
  <w:num w:numId="2">
    <w:abstractNumId w:val="27"/>
  </w:num>
  <w:num w:numId="3">
    <w:abstractNumId w:val="4"/>
  </w:num>
  <w:num w:numId="4">
    <w:abstractNumId w:val="1"/>
  </w:num>
  <w:num w:numId="5">
    <w:abstractNumId w:val="5"/>
  </w:num>
  <w:num w:numId="6">
    <w:abstractNumId w:val="3"/>
  </w:num>
  <w:num w:numId="7">
    <w:abstractNumId w:val="18"/>
  </w:num>
  <w:num w:numId="8">
    <w:abstractNumId w:val="16"/>
  </w:num>
  <w:num w:numId="9">
    <w:abstractNumId w:val="8"/>
  </w:num>
  <w:num w:numId="10">
    <w:abstractNumId w:val="13"/>
  </w:num>
  <w:num w:numId="11">
    <w:abstractNumId w:val="17"/>
  </w:num>
  <w:num w:numId="12">
    <w:abstractNumId w:val="32"/>
  </w:num>
  <w:num w:numId="13">
    <w:abstractNumId w:val="25"/>
  </w:num>
  <w:num w:numId="14">
    <w:abstractNumId w:val="9"/>
  </w:num>
  <w:num w:numId="15">
    <w:abstractNumId w:val="7"/>
  </w:num>
  <w:num w:numId="16">
    <w:abstractNumId w:val="29"/>
  </w:num>
  <w:num w:numId="17">
    <w:abstractNumId w:val="26"/>
  </w:num>
  <w:num w:numId="18">
    <w:abstractNumId w:val="6"/>
  </w:num>
  <w:num w:numId="19">
    <w:abstractNumId w:val="0"/>
  </w:num>
  <w:num w:numId="20">
    <w:abstractNumId w:val="2"/>
  </w:num>
  <w:num w:numId="21">
    <w:abstractNumId w:val="15"/>
  </w:num>
  <w:num w:numId="22">
    <w:abstractNumId w:val="10"/>
  </w:num>
  <w:num w:numId="23">
    <w:abstractNumId w:val="22"/>
  </w:num>
  <w:num w:numId="24">
    <w:abstractNumId w:val="23"/>
  </w:num>
  <w:num w:numId="25">
    <w:abstractNumId w:val="33"/>
  </w:num>
  <w:num w:numId="26">
    <w:abstractNumId w:val="19"/>
  </w:num>
  <w:num w:numId="27">
    <w:abstractNumId w:val="30"/>
  </w:num>
  <w:num w:numId="28">
    <w:abstractNumId w:val="14"/>
  </w:num>
  <w:num w:numId="29">
    <w:abstractNumId w:val="12"/>
  </w:num>
  <w:num w:numId="30">
    <w:abstractNumId w:val="31"/>
  </w:num>
  <w:num w:numId="31">
    <w:abstractNumId w:val="11"/>
  </w:num>
  <w:num w:numId="32">
    <w:abstractNumId w:val="24"/>
  </w:num>
  <w:num w:numId="33">
    <w:abstractNumId w:val="28"/>
  </w:num>
  <w:num w:numId="34">
    <w:abstractNumId w:val="3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0DD"/>
    <w:rsid w:val="00004D5C"/>
    <w:rsid w:val="00005F68"/>
    <w:rsid w:val="00012B00"/>
    <w:rsid w:val="00017386"/>
    <w:rsid w:val="00026711"/>
    <w:rsid w:val="00041EDC"/>
    <w:rsid w:val="00057FE0"/>
    <w:rsid w:val="000757FC"/>
    <w:rsid w:val="000862E0"/>
    <w:rsid w:val="00093408"/>
    <w:rsid w:val="0009435C"/>
    <w:rsid w:val="000C61D1"/>
    <w:rsid w:val="000E12D9"/>
    <w:rsid w:val="000F00B8"/>
    <w:rsid w:val="00106601"/>
    <w:rsid w:val="00111809"/>
    <w:rsid w:val="00117AEB"/>
    <w:rsid w:val="00121002"/>
    <w:rsid w:val="00170CE4"/>
    <w:rsid w:val="00173126"/>
    <w:rsid w:val="00192E34"/>
    <w:rsid w:val="001C5DC9"/>
    <w:rsid w:val="001C71A9"/>
    <w:rsid w:val="001F0629"/>
    <w:rsid w:val="001F0736"/>
    <w:rsid w:val="001F4302"/>
    <w:rsid w:val="00201CC8"/>
    <w:rsid w:val="00204079"/>
    <w:rsid w:val="00211B4E"/>
    <w:rsid w:val="00213258"/>
    <w:rsid w:val="00222258"/>
    <w:rsid w:val="00223AD6"/>
    <w:rsid w:val="00233D52"/>
    <w:rsid w:val="00260D2D"/>
    <w:rsid w:val="00281106"/>
    <w:rsid w:val="00282D27"/>
    <w:rsid w:val="00292420"/>
    <w:rsid w:val="002D185B"/>
    <w:rsid w:val="002E4D3F"/>
    <w:rsid w:val="002F66A6"/>
    <w:rsid w:val="003050DB"/>
    <w:rsid w:val="00307E0B"/>
    <w:rsid w:val="00310561"/>
    <w:rsid w:val="003128E2"/>
    <w:rsid w:val="00314336"/>
    <w:rsid w:val="0031702E"/>
    <w:rsid w:val="00326C03"/>
    <w:rsid w:val="00340DE0"/>
    <w:rsid w:val="00342327"/>
    <w:rsid w:val="00347E11"/>
    <w:rsid w:val="00350C92"/>
    <w:rsid w:val="00370311"/>
    <w:rsid w:val="0038587E"/>
    <w:rsid w:val="00392ED4"/>
    <w:rsid w:val="003A018B"/>
    <w:rsid w:val="003A5969"/>
    <w:rsid w:val="003A5C58"/>
    <w:rsid w:val="003C4BFD"/>
    <w:rsid w:val="003C7BE0"/>
    <w:rsid w:val="003D0DD3"/>
    <w:rsid w:val="003D17EF"/>
    <w:rsid w:val="003D3535"/>
    <w:rsid w:val="003E6020"/>
    <w:rsid w:val="0041223B"/>
    <w:rsid w:val="00416502"/>
    <w:rsid w:val="0042068E"/>
    <w:rsid w:val="00457192"/>
    <w:rsid w:val="004660C8"/>
    <w:rsid w:val="00472EBA"/>
    <w:rsid w:val="00474676"/>
    <w:rsid w:val="0047511B"/>
    <w:rsid w:val="00477688"/>
    <w:rsid w:val="00480EC3"/>
    <w:rsid w:val="0048317E"/>
    <w:rsid w:val="00485601"/>
    <w:rsid w:val="004865B8"/>
    <w:rsid w:val="00486C0D"/>
    <w:rsid w:val="00491796"/>
    <w:rsid w:val="004B66DA"/>
    <w:rsid w:val="004C70EE"/>
    <w:rsid w:val="004E25CD"/>
    <w:rsid w:val="004F0448"/>
    <w:rsid w:val="004F6525"/>
    <w:rsid w:val="0052127C"/>
    <w:rsid w:val="00533841"/>
    <w:rsid w:val="00544738"/>
    <w:rsid w:val="005456E4"/>
    <w:rsid w:val="00547B89"/>
    <w:rsid w:val="005606BC"/>
    <w:rsid w:val="00567799"/>
    <w:rsid w:val="00571A0B"/>
    <w:rsid w:val="005850D7"/>
    <w:rsid w:val="00596E2B"/>
    <w:rsid w:val="005A5193"/>
    <w:rsid w:val="005E2F29"/>
    <w:rsid w:val="005E4E79"/>
    <w:rsid w:val="006175D7"/>
    <w:rsid w:val="006208E5"/>
    <w:rsid w:val="00631F82"/>
    <w:rsid w:val="00654B4D"/>
    <w:rsid w:val="00670A48"/>
    <w:rsid w:val="00672F6F"/>
    <w:rsid w:val="0069523C"/>
    <w:rsid w:val="006B4A30"/>
    <w:rsid w:val="006B7569"/>
    <w:rsid w:val="006D3188"/>
    <w:rsid w:val="006D59F9"/>
    <w:rsid w:val="006E08FC"/>
    <w:rsid w:val="006F2588"/>
    <w:rsid w:val="00710A6C"/>
    <w:rsid w:val="00712266"/>
    <w:rsid w:val="00732C27"/>
    <w:rsid w:val="00750C93"/>
    <w:rsid w:val="00757B3B"/>
    <w:rsid w:val="00773075"/>
    <w:rsid w:val="00782B3F"/>
    <w:rsid w:val="0079641B"/>
    <w:rsid w:val="007A629C"/>
    <w:rsid w:val="007C44FF"/>
    <w:rsid w:val="007C7BDB"/>
    <w:rsid w:val="007D73AB"/>
    <w:rsid w:val="007D7833"/>
    <w:rsid w:val="007F516C"/>
    <w:rsid w:val="00804C1B"/>
    <w:rsid w:val="00816677"/>
    <w:rsid w:val="008178E6"/>
    <w:rsid w:val="008210DD"/>
    <w:rsid w:val="008375D5"/>
    <w:rsid w:val="008553F6"/>
    <w:rsid w:val="00875DDD"/>
    <w:rsid w:val="00891929"/>
    <w:rsid w:val="008A0A0D"/>
    <w:rsid w:val="008C562B"/>
    <w:rsid w:val="008D3090"/>
    <w:rsid w:val="008D4306"/>
    <w:rsid w:val="008D4508"/>
    <w:rsid w:val="008E77D6"/>
    <w:rsid w:val="0092226E"/>
    <w:rsid w:val="0093335A"/>
    <w:rsid w:val="0094502D"/>
    <w:rsid w:val="00947013"/>
    <w:rsid w:val="00957413"/>
    <w:rsid w:val="00986CC3"/>
    <w:rsid w:val="009920AA"/>
    <w:rsid w:val="009A4D0A"/>
    <w:rsid w:val="009C2459"/>
    <w:rsid w:val="009C6BEE"/>
    <w:rsid w:val="009D5D40"/>
    <w:rsid w:val="009D6B1B"/>
    <w:rsid w:val="009E107B"/>
    <w:rsid w:val="009E18D6"/>
    <w:rsid w:val="00A01F5C"/>
    <w:rsid w:val="00A061BD"/>
    <w:rsid w:val="00A3270B"/>
    <w:rsid w:val="00A43B02"/>
    <w:rsid w:val="00A5156E"/>
    <w:rsid w:val="00A56824"/>
    <w:rsid w:val="00A65C80"/>
    <w:rsid w:val="00A67276"/>
    <w:rsid w:val="00A67840"/>
    <w:rsid w:val="00A743AC"/>
    <w:rsid w:val="00A87A54"/>
    <w:rsid w:val="00AA1809"/>
    <w:rsid w:val="00AB0F40"/>
    <w:rsid w:val="00AB6313"/>
    <w:rsid w:val="00AF0BB7"/>
    <w:rsid w:val="00AF0EDE"/>
    <w:rsid w:val="00B06751"/>
    <w:rsid w:val="00B2169D"/>
    <w:rsid w:val="00B21CBB"/>
    <w:rsid w:val="00B316CA"/>
    <w:rsid w:val="00B41F72"/>
    <w:rsid w:val="00B517E1"/>
    <w:rsid w:val="00B55E70"/>
    <w:rsid w:val="00B639D8"/>
    <w:rsid w:val="00B84409"/>
    <w:rsid w:val="00BB5683"/>
    <w:rsid w:val="00BD0826"/>
    <w:rsid w:val="00BE3210"/>
    <w:rsid w:val="00C141C6"/>
    <w:rsid w:val="00C2071A"/>
    <w:rsid w:val="00C20ACB"/>
    <w:rsid w:val="00C26068"/>
    <w:rsid w:val="00C271A8"/>
    <w:rsid w:val="00C33D6A"/>
    <w:rsid w:val="00C37A77"/>
    <w:rsid w:val="00C4042C"/>
    <w:rsid w:val="00C461E6"/>
    <w:rsid w:val="00C93EBA"/>
    <w:rsid w:val="00CA4E2C"/>
    <w:rsid w:val="00CA7FF5"/>
    <w:rsid w:val="00CB1E7C"/>
    <w:rsid w:val="00CB2EA1"/>
    <w:rsid w:val="00CB43F1"/>
    <w:rsid w:val="00CB444A"/>
    <w:rsid w:val="00CB6EDE"/>
    <w:rsid w:val="00CC41BA"/>
    <w:rsid w:val="00CD1C6C"/>
    <w:rsid w:val="00CD6169"/>
    <w:rsid w:val="00CF3046"/>
    <w:rsid w:val="00CF717A"/>
    <w:rsid w:val="00D021D2"/>
    <w:rsid w:val="00D13D8A"/>
    <w:rsid w:val="00D279D8"/>
    <w:rsid w:val="00D27C8E"/>
    <w:rsid w:val="00D4141B"/>
    <w:rsid w:val="00D4145D"/>
    <w:rsid w:val="00D45543"/>
    <w:rsid w:val="00D5467F"/>
    <w:rsid w:val="00D6730A"/>
    <w:rsid w:val="00D76068"/>
    <w:rsid w:val="00D76B01"/>
    <w:rsid w:val="00D84704"/>
    <w:rsid w:val="00D95424"/>
    <w:rsid w:val="00DA2AC1"/>
    <w:rsid w:val="00DB561E"/>
    <w:rsid w:val="00DB714B"/>
    <w:rsid w:val="00DF5BFB"/>
    <w:rsid w:val="00E469E4"/>
    <w:rsid w:val="00E475C3"/>
    <w:rsid w:val="00E509B0"/>
    <w:rsid w:val="00E7634A"/>
    <w:rsid w:val="00E82BA3"/>
    <w:rsid w:val="00EA1688"/>
    <w:rsid w:val="00ED592E"/>
    <w:rsid w:val="00ED6ABD"/>
    <w:rsid w:val="00EE3C0F"/>
    <w:rsid w:val="00EF2A7F"/>
    <w:rsid w:val="00F03EAC"/>
    <w:rsid w:val="00F14024"/>
    <w:rsid w:val="00F2348B"/>
    <w:rsid w:val="00F259D7"/>
    <w:rsid w:val="00F31905"/>
    <w:rsid w:val="00F32D05"/>
    <w:rsid w:val="00F35263"/>
    <w:rsid w:val="00F53AEA"/>
    <w:rsid w:val="00F66093"/>
    <w:rsid w:val="00F848D6"/>
    <w:rsid w:val="00FA5DDD"/>
    <w:rsid w:val="00FB73BB"/>
    <w:rsid w:val="00FD0B7B"/>
    <w:rsid w:val="00FD4E71"/>
    <w:rsid w:val="00FD7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B51FA1"/>
  <w15:docId w15:val="{FBE5210B-7A1D-4594-9B72-55586B65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sv-SE" w:bidi="sv-SE"/>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nhideWhenUsed="1"/>
    <w:lsdException w:name="List Number 3" w:uiPriority="6"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3C4BFD"/>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line="240" w:lineRule="auto"/>
    </w:pPr>
    <w:rPr>
      <w:rFonts w:asciiTheme="majorHAnsi" w:hAnsiTheme="majorHAnsi"/>
      <w:sz w:val="24"/>
    </w:rPr>
  </w:style>
  <w:style w:type="paragraph" w:styleId="Innehll3">
    <w:name w:val="toc 3"/>
    <w:basedOn w:val="Normal"/>
    <w:next w:val="Brdtext"/>
    <w:autoRedefine/>
    <w:uiPriority w:val="39"/>
    <w:semiHidden/>
    <w:rsid w:val="00B84409"/>
    <w:pPr>
      <w:spacing w:after="0" w:line="240" w:lineRule="auto"/>
      <w:ind w:left="284"/>
    </w:p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paragraph" w:styleId="Ballongtext">
    <w:name w:val="Balloon Text"/>
    <w:basedOn w:val="Normal"/>
    <w:link w:val="BallongtextChar"/>
    <w:uiPriority w:val="99"/>
    <w:semiHidden/>
    <w:unhideWhenUsed/>
    <w:rsid w:val="00117AE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17AEB"/>
    <w:rPr>
      <w:rFonts w:ascii="Tahoma" w:hAnsi="Tahoma" w:cs="Tahoma"/>
      <w:sz w:val="16"/>
      <w:szCs w:val="16"/>
    </w:rPr>
  </w:style>
  <w:style w:type="paragraph" w:customStyle="1" w:styleId="Default">
    <w:name w:val="Default"/>
    <w:rsid w:val="00117AE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
    <ParagrafNr/>
    <DocumentTitle/>
    <VisitingAddress/>
    <Extra1/>
    <Extra2/>
    <Extra3/>
    <Number/>
    <Recipient/>
    <SenderText/>
    <DocNumber/>
    <Doclanguage/>
    <Appendix/>
    <LogotypeName/>
  </BaseInfo>
</DocumentInfo>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3721DBCBD247054AAE2C1E2F1827BC61" ma:contentTypeVersion="11" ma:contentTypeDescription="Skapa ett nytt dokument." ma:contentTypeScope="" ma:versionID="e58a3965a91ee7221829b5f6c49b290c">
  <xsd:schema xmlns:xsd="http://www.w3.org/2001/XMLSchema" xmlns:xs="http://www.w3.org/2001/XMLSchema" xmlns:p="http://schemas.microsoft.com/office/2006/metadata/properties" xmlns:ns2="736d6f9b-0f69-446c-a00c-279b631a456b" xmlns:ns3="1daf76b3-4cee-4af5-8080-d9834fd63a08" targetNamespace="http://schemas.microsoft.com/office/2006/metadata/properties" ma:root="true" ma:fieldsID="18a45cbd165f26ec3e9e824a9d6c3f47" ns2:_="" ns3:_="">
    <xsd:import namespace="736d6f9b-0f69-446c-a00c-279b631a456b"/>
    <xsd:import namespace="1daf76b3-4cee-4af5-8080-d9834fd63a08"/>
    <xsd:element name="properties">
      <xsd:complexType>
        <xsd:sequence>
          <xsd:element name="documentManagement">
            <xsd:complexType>
              <xsd:all>
                <xsd:element ref="ns2:Diarienummer" minOccurs="0"/>
                <xsd:element ref="ns2:Nyckelord" minOccurs="0"/>
                <xsd:element ref="ns3:Sekretess_x0020_m.m." minOccurs="0"/>
                <xsd:element ref="ns2:Sekretess" minOccurs="0"/>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d6f9b-0f69-446c-a00c-279b631a456b" elementFormDefault="qualified">
    <xsd:import namespace="http://schemas.microsoft.com/office/2006/documentManagement/types"/>
    <xsd:import namespace="http://schemas.microsoft.com/office/infopath/2007/PartnerControls"/>
    <xsd:element name="Diarienummer" ma:index="2" nillable="true" ma:displayName="Diarienummer" ma:internalName="Diarienummer" ma:readOnly="false">
      <xsd:simpleType>
        <xsd:restriction base="dms:Text"/>
      </xsd:simpleType>
    </xsd:element>
    <xsd:element name="Nyckelord" ma:index="3" nillable="true" ma:displayName="Nyckelord" ma:internalName="Nyckelord" ma:readOnly="false">
      <xsd:simpleType>
        <xsd:restriction base="dms:Text"/>
      </xsd:simpleType>
    </xsd:element>
    <xsd:element name="Sekretess" ma:index="7"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displayName="Departement/enhet_0" ma:hidden="true" ma:internalName="k46d94c0acf84ab9a79866a9d8b1905f" ma:readOnly="false">
      <xsd:simpleType>
        <xsd:restriction base="dms:Note"/>
      </xsd:simpleType>
    </xsd:element>
    <xsd:element name="TaxCatchAll" ma:index="12" nillable="true" ma:displayName="Global taxonomikolumn" ma:hidden="true" ma:list="{a43e3380-27e1-4c7d-8de4-174a05786147}" ma:internalName="TaxCatchAll" ma:showField="CatchAllData"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a43e3380-27e1-4c7d-8de4-174a05786147}" ma:internalName="TaxCatchAllLabel" ma:readOnly="true" ma:showField="CatchAllDataLabel"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displayName="Aktivitetskategori_0" ma:hidden="true" ma:internalName="c9cd366cc722410295b9eacffbd73909"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af76b3-4cee-4af5-8080-d9834fd63a08" elementFormDefault="qualified">
    <xsd:import namespace="http://schemas.microsoft.com/office/2006/documentManagement/types"/>
    <xsd:import namespace="http://schemas.microsoft.com/office/infopath/2007/PartnerControls"/>
    <xsd:element name="Sekretess_x0020_m.m." ma:index="4" nillable="true" ma:displayName="Sekretess m.m." ma:internalName="Sekretess_x0020_m_x002e_m_x002e_" ma:readOnly="false">
      <xsd:simpleType>
        <xsd:restriction base="dms:Boolean"/>
      </xsd:simpleType>
    </xsd:element>
    <xsd:element name="RKOrdnaClass" ma:index="21" nillable="true" ma:displayName="RKOrdnaClass" ma:hidden="true" ma:internalName="RKOrdnaClass" ma:readOnly="false">
      <xsd:simpleType>
        <xsd:restriction base="dms:Text"/>
      </xsd:simpleType>
    </xsd:element>
    <xsd:element name="RKOrdnaCheckInComment" ma:index="23" nillable="true" ma:displayName="RKOrdnaCheckInComment"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Nyckelord xmlns="736d6f9b-0f69-446c-a00c-279b631a456b" xsi:nil="true"/>
    <k46d94c0acf84ab9a79866a9d8b1905f xmlns="736d6f9b-0f69-446c-a00c-279b631a456b" xsi:nil="true"/>
    <RKOrdnaCheckInComment xmlns="1daf76b3-4cee-4af5-8080-d9834fd63a08" xsi:nil="true"/>
    <Sekretess xmlns="736d6f9b-0f69-446c-a00c-279b631a456b" xsi:nil="true"/>
    <TaxCatchAll xmlns="736d6f9b-0f69-446c-a00c-279b631a456b"/>
    <Diarienummer xmlns="736d6f9b-0f69-446c-a00c-279b631a456b" xsi:nil="true"/>
    <RKOrdnaClass xmlns="1daf76b3-4cee-4af5-8080-d9834fd63a08" xsi:nil="true"/>
    <c9cd366cc722410295b9eacffbd73909 xmlns="736d6f9b-0f69-446c-a00c-279b631a456b" xsi:nil="true"/>
    <Sekretess_x0020_m.m. xmlns="1daf76b3-4cee-4af5-8080-d9834fd63a08" xsi:nil="true"/>
    <_dlc_DocId xmlns="736d6f9b-0f69-446c-a00c-279b631a456b">KWSQ2AKCCCHU-22-26062</_dlc_DocId>
    <_dlc_DocIdUrl xmlns="736d6f9b-0f69-446c-a00c-279b631a456b">
      <Url>http://rkdhs-n/enhet/is/EUI_L/_layouts/DocIdRedir.aspx?ID=KWSQ2AKCCCHU-22-26062</Url>
      <Description>KWSQ2AKCCCHU-22-26062</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04114-2B3D-4E84-98C8-A67EE6BA9AF7}">
  <ds:schemaRefs>
    <ds:schemaRef ds:uri="http://schemas.microsoft.com/sharepoint/v3/contenttype/forms/url"/>
  </ds:schemaRefs>
</ds:datastoreItem>
</file>

<file path=customXml/itemProps2.xml><?xml version="1.0" encoding="utf-8"?>
<ds:datastoreItem xmlns:ds="http://schemas.openxmlformats.org/officeDocument/2006/customXml" ds:itemID="{87832E82-63CA-4BEB-9A0D-EC3CB50F1C50}">
  <ds:schemaRefs>
    <ds:schemaRef ds:uri="http://lp/documentinfo/RK"/>
  </ds:schemaRefs>
</ds:datastoreItem>
</file>

<file path=customXml/itemProps3.xml><?xml version="1.0" encoding="utf-8"?>
<ds:datastoreItem xmlns:ds="http://schemas.openxmlformats.org/officeDocument/2006/customXml" ds:itemID="{75FA0571-A528-404B-8CA1-5A26EF40F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d6f9b-0f69-446c-a00c-279b631a456b"/>
    <ds:schemaRef ds:uri="1daf76b3-4cee-4af5-8080-d9834fd63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154E77-9C98-4DEF-A04A-C5AF349F6256}">
  <ds:schemaRefs>
    <ds:schemaRef ds:uri="http://schemas.microsoft.com/office/2006/metadata/customXsn"/>
  </ds:schemaRefs>
</ds:datastoreItem>
</file>

<file path=customXml/itemProps5.xml><?xml version="1.0" encoding="utf-8"?>
<ds:datastoreItem xmlns:ds="http://schemas.openxmlformats.org/officeDocument/2006/customXml" ds:itemID="{523AE909-F8E3-4490-A1BC-E4EDE2E431E6}">
  <ds:schemaRefs>
    <ds:schemaRef ds:uri="http://schemas.microsoft.com/office/2006/documentManagement/types"/>
    <ds:schemaRef ds:uri="1daf76b3-4cee-4af5-8080-d9834fd63a08"/>
    <ds:schemaRef ds:uri="http://purl.org/dc/elements/1.1/"/>
    <ds:schemaRef ds:uri="http://schemas.microsoft.com/office/2006/metadata/properties"/>
    <ds:schemaRef ds:uri="736d6f9b-0f69-446c-a00c-279b631a456b"/>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68255C34-D862-4929-BB65-531CD2792D70}">
  <ds:schemaRefs>
    <ds:schemaRef ds:uri="http://schemas.microsoft.com/sharepoint/events"/>
  </ds:schemaRefs>
</ds:datastoreItem>
</file>

<file path=customXml/itemProps7.xml><?xml version="1.0" encoding="utf-8"?>
<ds:datastoreItem xmlns:ds="http://schemas.openxmlformats.org/officeDocument/2006/customXml" ds:itemID="{32DB226A-7B8E-42AC-8F96-BA9EC1F8FAB0}">
  <ds:schemaRefs>
    <ds:schemaRef ds:uri="http://schemas.microsoft.com/sharepoint/v3/contenttype/forms"/>
  </ds:schemaRefs>
</ds:datastoreItem>
</file>

<file path=customXml/itemProps8.xml><?xml version="1.0" encoding="utf-8"?>
<ds:datastoreItem xmlns:ds="http://schemas.openxmlformats.org/officeDocument/2006/customXml" ds:itemID="{C2EDB71F-DEF3-4699-AC73-A939FF6F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4775</Words>
  <Characters>25308</Characters>
  <Application>Microsoft Office Word</Application>
  <DocSecurity>0</DocSecurity>
  <Lines>210</Lines>
  <Paragraphs>60</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30023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Sivard-Askvik</dc:creator>
  <cp:lastModifiedBy>Helena Sivard-Askvik</cp:lastModifiedBy>
  <cp:revision>4</cp:revision>
  <cp:lastPrinted>2018-01-22T09:53:00Z</cp:lastPrinted>
  <dcterms:created xsi:type="dcterms:W3CDTF">2017-10-19T08:56:00Z</dcterms:created>
  <dcterms:modified xsi:type="dcterms:W3CDTF">2018-01-22T09:56:00Z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0x01010053E1D612BA3F4E21AA250ECD751942B3003721DBCBD247054AAE2C1E2F1827BC61</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4b7bfd35-abeb-415e-a32b-a791b807829c</vt:lpwstr>
  </property>
</Properties>
</file>